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shd w:val="clear" w:fill="FFFFFF"/>
        </w:rPr>
        <w:t>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center"/>
        <w:rPr>
          <w:rFonts w:hint="eastAsia" w:ascii="仿宋" w:hAnsi="仿宋" w:eastAsia="仿宋" w:cs="仿宋"/>
          <w:sz w:val="25"/>
          <w:szCs w:val="25"/>
        </w:rPr>
      </w:pPr>
      <w:r>
        <w:rPr>
          <w:rStyle w:val="5"/>
          <w:rFonts w:hint="eastAsia" w:ascii="宋体" w:hAnsi="宋体" w:eastAsia="宋体" w:cs="宋体"/>
          <w:i w:val="0"/>
          <w:iCs w:val="0"/>
          <w:caps w:val="0"/>
          <w:color w:val="000000"/>
          <w:spacing w:val="0"/>
          <w:sz w:val="29"/>
          <w:szCs w:val="29"/>
          <w:shd w:val="clear" w:fill="FFFFFF"/>
        </w:rPr>
        <w:t>2023年江西省艺术科学规划年度项目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center"/>
        <w:rPr>
          <w:rFonts w:hint="eastAsia" w:ascii="仿宋" w:hAnsi="仿宋" w:eastAsia="仿宋" w:cs="仿宋"/>
          <w:sz w:val="25"/>
          <w:szCs w:val="25"/>
        </w:rPr>
      </w:pPr>
      <w:r>
        <w:rPr>
          <w:rStyle w:val="5"/>
          <w:rFonts w:hint="eastAsia" w:ascii="宋体" w:hAnsi="宋体" w:eastAsia="宋体" w:cs="宋体"/>
          <w:i w:val="0"/>
          <w:iCs w:val="0"/>
          <w:caps w:val="0"/>
          <w:color w:val="000000"/>
          <w:spacing w:val="0"/>
          <w:sz w:val="29"/>
          <w:szCs w:val="29"/>
          <w:shd w:val="clear" w:fill="FFFFFF"/>
        </w:rPr>
        <w:t>选题方向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ascii="楷体" w:hAnsi="楷体" w:eastAsia="楷体" w:cs="楷体"/>
          <w:i w:val="0"/>
          <w:iCs w:val="0"/>
          <w:caps w:val="0"/>
          <w:color w:val="000000"/>
          <w:spacing w:val="0"/>
          <w:sz w:val="25"/>
          <w:szCs w:val="25"/>
          <w:shd w:val="clear" w:fill="FFFFFF"/>
        </w:rPr>
        <w:t>（一）文化事业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1.江西地方戏曲发展路径研究；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2.江西音乐创作现状及对策研究；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3.江西民间舞蹈传承与保护研究；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4.江西省文化和旅游中青年拔尖人才引进和高素质文旅人才培养体系对策研究；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楷体" w:hAnsi="楷体" w:eastAsia="楷体" w:cs="楷体"/>
          <w:i w:val="0"/>
          <w:iCs w:val="0"/>
          <w:caps w:val="0"/>
          <w:color w:val="000000"/>
          <w:spacing w:val="0"/>
          <w:sz w:val="25"/>
          <w:szCs w:val="25"/>
          <w:shd w:val="clear" w:fill="FFFFFF"/>
        </w:rPr>
        <w:t>（二）文化产业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5.江西智慧图书馆体系构建研究；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6.江西智慧博物馆体系构建研究；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7.江西特色文化馆体系构建研究；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8.江西特色美术馆体系构建研究；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9.江西数字文旅产业发展路径和对策研究；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10.江西地方戏曲演出市场调查研究；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楷体" w:hAnsi="楷体" w:eastAsia="楷体" w:cs="楷体"/>
          <w:i w:val="0"/>
          <w:iCs w:val="0"/>
          <w:caps w:val="0"/>
          <w:color w:val="000000"/>
          <w:spacing w:val="0"/>
          <w:sz w:val="25"/>
          <w:szCs w:val="25"/>
          <w:shd w:val="clear" w:fill="FFFFFF"/>
        </w:rPr>
        <w:t>（三）旅游产业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11.完善我省文化和旅游标准化体系及工作路径研究；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12.完善我省文化和旅游市场数字化监管体系路径研究；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13.文旅赋能我省乡村振兴路径和对策研究；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14.持续打响“江西风景独好”品牌对策和路径研究；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楷体" w:hAnsi="楷体" w:eastAsia="楷体" w:cs="楷体"/>
          <w:i w:val="0"/>
          <w:iCs w:val="0"/>
          <w:caps w:val="0"/>
          <w:color w:val="000000"/>
          <w:spacing w:val="0"/>
          <w:sz w:val="25"/>
          <w:szCs w:val="25"/>
          <w:shd w:val="clear" w:fill="FFFFFF"/>
        </w:rPr>
        <w:t>（四）文化遗产保护类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15.非遗促进我省文旅产业高质量发展对策研究；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16.江西考古公园创新出圈路径及对策研究；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shd w:val="clear" w:fill="FFFFFF"/>
        </w:rPr>
        <w:t>17.江西低等级革命文物保护对策和路径研究。</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YjExYTliNjE5NDhmY2U5YmQzNTY5MGIzYzY4ZWMifQ=="/>
  </w:docVars>
  <w:rsids>
    <w:rsidRoot w:val="00000000"/>
    <w:rsid w:val="47F23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2023-07-12T09:23:24Z</dcterms:created>
  <dc:creator>Administrator</dc:creator>
  <cp:lastModifiedBy>Richy</cp:lastModifiedBy>
  <dcterms:modified xsi:type="dcterms:W3CDTF">2023-07-12T09:23:30Z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1C38E0FA8ED2442EAECF30070C8D8063_12</vt:lpwstr>
  </property>
</Properties>
</file>