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AB3" w:rsidRPr="003A5AB3" w:rsidRDefault="003A5AB3" w:rsidP="0049464E">
      <w:pPr>
        <w:widowControl/>
        <w:spacing w:before="100" w:beforeAutospacing="1" w:after="100" w:afterAutospacing="1" w:line="540" w:lineRule="atLeast"/>
        <w:ind w:left="720"/>
        <w:jc w:val="center"/>
        <w:rPr>
          <w:rFonts w:ascii="宋体" w:eastAsia="宋体" w:hAnsi="宋体" w:cs="宋体"/>
          <w:b/>
          <w:bCs/>
          <w:color w:val="333333"/>
          <w:kern w:val="0"/>
          <w:sz w:val="44"/>
          <w:szCs w:val="44"/>
        </w:rPr>
      </w:pPr>
      <w:r w:rsidRPr="003A5AB3">
        <w:rPr>
          <w:rFonts w:ascii="宋体" w:eastAsia="宋体" w:hAnsi="宋体" w:cs="宋体" w:hint="eastAsia"/>
          <w:b/>
          <w:bCs/>
          <w:color w:val="333333"/>
          <w:kern w:val="0"/>
          <w:sz w:val="44"/>
          <w:szCs w:val="44"/>
        </w:rPr>
        <w:t>研究</w:t>
      </w:r>
      <w:proofErr w:type="gramStart"/>
      <w:r w:rsidRPr="003A5AB3">
        <w:rPr>
          <w:rFonts w:ascii="宋体" w:eastAsia="宋体" w:hAnsi="宋体" w:cs="宋体" w:hint="eastAsia"/>
          <w:b/>
          <w:bCs/>
          <w:color w:val="333333"/>
          <w:kern w:val="0"/>
          <w:sz w:val="44"/>
          <w:szCs w:val="44"/>
        </w:rPr>
        <w:t>阐释党</w:t>
      </w:r>
      <w:proofErr w:type="gramEnd"/>
      <w:r w:rsidRPr="003A5AB3">
        <w:rPr>
          <w:rFonts w:ascii="宋体" w:eastAsia="宋体" w:hAnsi="宋体" w:cs="宋体" w:hint="eastAsia"/>
          <w:b/>
          <w:bCs/>
          <w:color w:val="333333"/>
          <w:kern w:val="0"/>
          <w:sz w:val="44"/>
          <w:szCs w:val="44"/>
        </w:rPr>
        <w:t>的十九届六中全会</w:t>
      </w:r>
      <w:proofErr w:type="gramStart"/>
      <w:r w:rsidRPr="003A5AB3">
        <w:rPr>
          <w:rFonts w:ascii="宋体" w:eastAsia="宋体" w:hAnsi="宋体" w:cs="宋体" w:hint="eastAsia"/>
          <w:b/>
          <w:bCs/>
          <w:color w:val="333333"/>
          <w:kern w:val="0"/>
          <w:sz w:val="44"/>
          <w:szCs w:val="44"/>
        </w:rPr>
        <w:t>精神省</w:t>
      </w:r>
      <w:proofErr w:type="gramEnd"/>
      <w:r w:rsidRPr="003A5AB3">
        <w:rPr>
          <w:rFonts w:ascii="宋体" w:eastAsia="宋体" w:hAnsi="宋体" w:cs="宋体" w:hint="eastAsia"/>
          <w:b/>
          <w:bCs/>
          <w:color w:val="333333"/>
          <w:kern w:val="0"/>
          <w:sz w:val="44"/>
          <w:szCs w:val="44"/>
        </w:rPr>
        <w:t>社科基金专项课题招标公告</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各高等院校，省直科研机构，省直有关单位：</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为深入研究阐释党的十九届六中全会精神，省社科规划办列出一批重点研究选题，面向全省公开招标。</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b/>
          <w:bCs/>
          <w:color w:val="333333"/>
          <w:kern w:val="0"/>
          <w:sz w:val="24"/>
          <w:szCs w:val="24"/>
        </w:rPr>
        <w:t>       一、招标数量和资助经费</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本次研究专项招标共确定30个课题研究方向，最终拟立项20项，每项资助经费3万元，纳入省社科基金重点项目管理，课题完成时限为1年。</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b/>
          <w:bCs/>
          <w:color w:val="333333"/>
          <w:kern w:val="0"/>
          <w:sz w:val="24"/>
          <w:szCs w:val="24"/>
        </w:rPr>
        <w:t>       二、投标资格要求</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（一）投标责任单位须具备下列条件：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 在相关研究领域具有较强的科研力量和深厚的学术积累；</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xml:space="preserve">      </w:t>
      </w:r>
      <w:r w:rsidR="005E27AF">
        <w:rPr>
          <w:rFonts w:ascii="微软雅黑" w:eastAsia="微软雅黑" w:hAnsi="微软雅黑" w:cs="宋体"/>
          <w:color w:val="333333"/>
          <w:kern w:val="0"/>
          <w:sz w:val="24"/>
          <w:szCs w:val="24"/>
        </w:rPr>
        <w:t xml:space="preserve"> </w:t>
      </w:r>
      <w:r w:rsidRPr="003A5AB3">
        <w:rPr>
          <w:rFonts w:ascii="微软雅黑" w:eastAsia="微软雅黑" w:hAnsi="微软雅黑" w:cs="宋体" w:hint="eastAsia"/>
          <w:color w:val="333333"/>
          <w:kern w:val="0"/>
          <w:sz w:val="24"/>
          <w:szCs w:val="24"/>
        </w:rPr>
        <w:t>2. 设有专门负责科研管理工作的职能部门；</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xml:space="preserve">      </w:t>
      </w:r>
      <w:r w:rsidR="005E27AF">
        <w:rPr>
          <w:rFonts w:ascii="微软雅黑" w:eastAsia="微软雅黑" w:hAnsi="微软雅黑" w:cs="宋体"/>
          <w:color w:val="333333"/>
          <w:kern w:val="0"/>
          <w:sz w:val="24"/>
          <w:szCs w:val="24"/>
        </w:rPr>
        <w:t xml:space="preserve"> </w:t>
      </w:r>
      <w:r w:rsidRPr="003A5AB3">
        <w:rPr>
          <w:rFonts w:ascii="微软雅黑" w:eastAsia="微软雅黑" w:hAnsi="微软雅黑" w:cs="宋体" w:hint="eastAsia"/>
          <w:color w:val="333333"/>
          <w:kern w:val="0"/>
          <w:sz w:val="24"/>
          <w:szCs w:val="24"/>
        </w:rPr>
        <w:t>3. 能够为开展项目研究工作提供良好条件。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（二）投标者须具备下列条件：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遵守中华人民共和国宪法和法律，遵守江西省社科基金各项管理规定；在相关研究领域具有较深的学术造诣和丰富的科研经验，社会责任感强，学风优良；具有副高级（含）以上专业技术职称或博士学位，</w:t>
      </w:r>
      <w:proofErr w:type="gramStart"/>
      <w:r w:rsidRPr="003A5AB3">
        <w:rPr>
          <w:rFonts w:ascii="微软雅黑" w:eastAsia="微软雅黑" w:hAnsi="微软雅黑" w:cs="宋体" w:hint="eastAsia"/>
          <w:color w:val="333333"/>
          <w:kern w:val="0"/>
          <w:sz w:val="24"/>
          <w:szCs w:val="24"/>
        </w:rPr>
        <w:t>且主持</w:t>
      </w:r>
      <w:proofErr w:type="gramEnd"/>
      <w:r w:rsidRPr="003A5AB3">
        <w:rPr>
          <w:rFonts w:ascii="微软雅黑" w:eastAsia="微软雅黑" w:hAnsi="微软雅黑" w:cs="宋体" w:hint="eastAsia"/>
          <w:color w:val="333333"/>
          <w:kern w:val="0"/>
          <w:sz w:val="24"/>
          <w:szCs w:val="24"/>
        </w:rPr>
        <w:t>完成过省社科基金项目，</w:t>
      </w:r>
      <w:proofErr w:type="gramStart"/>
      <w:r w:rsidRPr="003A5AB3">
        <w:rPr>
          <w:rFonts w:ascii="微软雅黑" w:eastAsia="微软雅黑" w:hAnsi="微软雅黑" w:cs="宋体" w:hint="eastAsia"/>
          <w:color w:val="333333"/>
          <w:kern w:val="0"/>
          <w:sz w:val="24"/>
          <w:szCs w:val="24"/>
        </w:rPr>
        <w:t>结项等级</w:t>
      </w:r>
      <w:proofErr w:type="gramEnd"/>
      <w:r w:rsidRPr="003A5AB3">
        <w:rPr>
          <w:rFonts w:ascii="微软雅黑" w:eastAsia="微软雅黑" w:hAnsi="微软雅黑" w:cs="宋体" w:hint="eastAsia"/>
          <w:color w:val="333333"/>
          <w:kern w:val="0"/>
          <w:sz w:val="24"/>
          <w:szCs w:val="24"/>
        </w:rPr>
        <w:t>为良好以上，能够承担实质性研究工作并担负科研组织指导职责；在</w:t>
      </w:r>
      <w:proofErr w:type="gramStart"/>
      <w:r w:rsidRPr="003A5AB3">
        <w:rPr>
          <w:rFonts w:ascii="微软雅黑" w:eastAsia="微软雅黑" w:hAnsi="微软雅黑" w:cs="宋体" w:hint="eastAsia"/>
          <w:color w:val="333333"/>
          <w:kern w:val="0"/>
          <w:sz w:val="24"/>
          <w:szCs w:val="24"/>
        </w:rPr>
        <w:t>研</w:t>
      </w:r>
      <w:proofErr w:type="gramEnd"/>
      <w:r w:rsidRPr="003A5AB3">
        <w:rPr>
          <w:rFonts w:ascii="微软雅黑" w:eastAsia="微软雅黑" w:hAnsi="微软雅黑" w:cs="宋体" w:hint="eastAsia"/>
          <w:color w:val="333333"/>
          <w:kern w:val="0"/>
          <w:sz w:val="24"/>
          <w:szCs w:val="24"/>
        </w:rPr>
        <w:t>的省社科基金重点项目负责人，不能参加本次投标。</w:t>
      </w:r>
    </w:p>
    <w:p w:rsidR="003A5AB3" w:rsidRPr="003A5AB3" w:rsidRDefault="003A5AB3" w:rsidP="003A5AB3">
      <w:pPr>
        <w:widowControl/>
        <w:spacing w:line="510" w:lineRule="atLeast"/>
        <w:ind w:left="630"/>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b/>
          <w:bCs/>
          <w:color w:val="333333"/>
          <w:kern w:val="0"/>
          <w:sz w:val="24"/>
          <w:szCs w:val="24"/>
        </w:rPr>
        <w:t>三、招标选题研究方向</w:t>
      </w:r>
    </w:p>
    <w:p w:rsidR="003A5AB3" w:rsidRPr="003A5AB3" w:rsidRDefault="003A5AB3" w:rsidP="003A5AB3">
      <w:pPr>
        <w:widowControl/>
        <w:spacing w:line="510" w:lineRule="atLeast"/>
        <w:ind w:left="630"/>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lastRenderedPageBreak/>
        <w:t>本次专项课题紧紧围绕学习贯彻党的十九届六中全会精神，结合贯彻落实省第十五次党代会精神开展研究，申请人根据以下30个选题，选择不同的角度、方法和侧重点进行申报。</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1.中国共产党百年奋斗的重大成就、历史意义与深远影响研究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2.中国共产党第三个《决议》的核心要义与时代价值研究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3.中国共产党领导人民进行革命、建设、改革的百年历程研究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4.大历史观视域下中国共产党百年奋斗的内在发展逻辑研究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xml:space="preserve">       </w:t>
      </w:r>
      <w:r w:rsidR="005E27AF">
        <w:rPr>
          <w:rFonts w:ascii="微软雅黑" w:eastAsia="微软雅黑" w:hAnsi="微软雅黑" w:cs="宋体"/>
          <w:color w:val="333333"/>
          <w:kern w:val="0"/>
          <w:sz w:val="24"/>
          <w:szCs w:val="24"/>
        </w:rPr>
        <w:t xml:space="preserve"> </w:t>
      </w:r>
      <w:r w:rsidRPr="003A5AB3">
        <w:rPr>
          <w:rFonts w:ascii="微软雅黑" w:eastAsia="微软雅黑" w:hAnsi="微软雅黑" w:cs="宋体" w:hint="eastAsia"/>
          <w:color w:val="333333"/>
          <w:kern w:val="0"/>
          <w:sz w:val="24"/>
          <w:szCs w:val="24"/>
        </w:rPr>
        <w:t>5.“两个确立”对新时代推进中华民族伟大复兴历史进程的决定性意义研究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6.不断维护党的团结、维护党中央权威和集中统一领导的百年历程研究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7.中国共产党百年奋斗的“十个坚持”历史经验与开创未来的“九个必须”研究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8.习近平新时代中国特色社会主义思想是中华文化和中国精神的时代精华研究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9.习近平总书记关于党的历史重要论述的核心要义与理论创新研究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10.中国共产党领导新中国农村土地改革工作的历史经验与启示研究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11.全面建设社会主义现代化国家江西篇章的时代意蕴与实现路径研究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12.中国式现代化新道路与江西高质量发展研究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13.中国共产党百年土地制度改革的江西经验及贡献研究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14.全过程人民民主在江西的生动实践研究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15.全面建设创新江西的战略意义与实现路径研究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16.全面建设富裕江西的战略意义与实现路径研究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lastRenderedPageBreak/>
        <w:t>       17.全面建设美丽江西的战略意义与实现路径研究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18.全面建设幸福江西的战略意义与实现路径研究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19.全面建设</w:t>
      </w:r>
      <w:proofErr w:type="gramStart"/>
      <w:r w:rsidRPr="003A5AB3">
        <w:rPr>
          <w:rFonts w:ascii="微软雅黑" w:eastAsia="微软雅黑" w:hAnsi="微软雅黑" w:cs="宋体" w:hint="eastAsia"/>
          <w:color w:val="333333"/>
          <w:kern w:val="0"/>
          <w:sz w:val="24"/>
          <w:szCs w:val="24"/>
        </w:rPr>
        <w:t>和谐江西</w:t>
      </w:r>
      <w:proofErr w:type="gramEnd"/>
      <w:r w:rsidRPr="003A5AB3">
        <w:rPr>
          <w:rFonts w:ascii="微软雅黑" w:eastAsia="微软雅黑" w:hAnsi="微软雅黑" w:cs="宋体" w:hint="eastAsia"/>
          <w:color w:val="333333"/>
          <w:kern w:val="0"/>
          <w:sz w:val="24"/>
          <w:szCs w:val="24"/>
        </w:rPr>
        <w:t>的战略意义与实现路径研究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20.全面建设勤廉江西的战略意义与实现路径研究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21.奋力推动新时代江西乡村振兴工作高质量发展的路径研究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22.“十四五”时期江西推动中医药文化高质量发展建设“文化强省”的路径研究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23.基础研究驱动下江西创新体系建设机制与路径研究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24.唯物史观视野下江西实现共同富裕的历史意蕴与路径研究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25.江西实现碳达峰碳中和：目标、挑战与实现路径</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26.推进数字经济与我省实体经济深度融合研究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27.基于区块链的我省社区居家养老模式与质量安全体系研究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28.巩固拓展我省脱贫攻坚成果与深入实施乡村振兴战略研究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29.传承弘扬优秀赣</w:t>
      </w:r>
      <w:proofErr w:type="gramStart"/>
      <w:r w:rsidRPr="003A5AB3">
        <w:rPr>
          <w:rFonts w:ascii="微软雅黑" w:eastAsia="微软雅黑" w:hAnsi="微软雅黑" w:cs="宋体" w:hint="eastAsia"/>
          <w:color w:val="333333"/>
          <w:kern w:val="0"/>
          <w:sz w:val="24"/>
          <w:szCs w:val="24"/>
        </w:rPr>
        <w:t>鄱</w:t>
      </w:r>
      <w:proofErr w:type="gramEnd"/>
      <w:r w:rsidRPr="003A5AB3">
        <w:rPr>
          <w:rFonts w:ascii="微软雅黑" w:eastAsia="微软雅黑" w:hAnsi="微软雅黑" w:cs="宋体" w:hint="eastAsia"/>
          <w:color w:val="333333"/>
          <w:kern w:val="0"/>
          <w:sz w:val="24"/>
          <w:szCs w:val="24"/>
        </w:rPr>
        <w:t>文化研究（书院文化、陶瓷文化、稻作文化、戏剧文化等）</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30.百年江西红色革命精神与中国共产党人精神谱系研究（或中国共产党精神谱系中的江西贡献研究）</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w:t>
      </w:r>
      <w:r w:rsidRPr="003A5AB3">
        <w:rPr>
          <w:rFonts w:ascii="微软雅黑" w:eastAsia="微软雅黑" w:hAnsi="微软雅黑" w:cs="宋体" w:hint="eastAsia"/>
          <w:b/>
          <w:bCs/>
          <w:color w:val="333333"/>
          <w:kern w:val="0"/>
          <w:sz w:val="24"/>
          <w:szCs w:val="24"/>
        </w:rPr>
        <w:t>    四、投标时间和有关事项</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投标时间为2021年12月29日——2022年2月18日，纸质版申请书A3中缝装订，提交一式五份，电子申请书和申报汇总表发送至我办邮箱，所有申报材料须于2022年2月18日前报送至省社科规划办。</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lastRenderedPageBreak/>
        <w:t>       通讯地址：南昌市洪都北大道649号省社联办公大楼省社科规划办公室313室。</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联系电话：0791-88596274。</w:t>
      </w: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电子邮箱：jxskghb@163.com</w:t>
      </w:r>
    </w:p>
    <w:p w:rsidR="004D6460" w:rsidRPr="004D6460" w:rsidRDefault="003A5AB3" w:rsidP="004D6460">
      <w:pPr>
        <w:pStyle w:val="a3"/>
        <w:shd w:val="clear" w:color="auto" w:fill="FFFFFF"/>
        <w:spacing w:before="0" w:beforeAutospacing="0" w:after="0" w:afterAutospacing="0"/>
        <w:rPr>
          <w:rFonts w:ascii="微软雅黑" w:eastAsia="微软雅黑" w:hAnsi="微软雅黑"/>
          <w:color w:val="333333"/>
        </w:rPr>
      </w:pPr>
      <w:r w:rsidRPr="003A5AB3">
        <w:rPr>
          <w:rFonts w:ascii="微软雅黑" w:eastAsia="微软雅黑" w:hAnsi="微软雅黑" w:hint="eastAsia"/>
          <w:color w:val="333333"/>
        </w:rPr>
        <w:t>      </w:t>
      </w:r>
      <w:r w:rsidR="004D6460" w:rsidRPr="004D6460">
        <w:rPr>
          <w:rFonts w:ascii="微软雅黑" w:eastAsia="微软雅黑" w:hAnsi="微软雅黑" w:hint="eastAsia"/>
          <w:color w:val="333333"/>
        </w:rPr>
        <w:t>  附件：</w:t>
      </w:r>
      <w:hyperlink r:id="rId5" w:tgtFrame="_blank" w:history="1">
        <w:r w:rsidR="004D6460" w:rsidRPr="004D6460">
          <w:rPr>
            <w:rFonts w:ascii="微软雅黑" w:eastAsia="微软雅黑" w:hAnsi="微软雅黑" w:hint="eastAsia"/>
            <w:color w:val="0000FF"/>
            <w:u w:val="single"/>
            <w:bdr w:val="none" w:sz="0" w:space="0" w:color="auto" w:frame="1"/>
          </w:rPr>
          <w:t>1. 研究</w:t>
        </w:r>
        <w:proofErr w:type="gramStart"/>
        <w:r w:rsidR="004D6460" w:rsidRPr="004D6460">
          <w:rPr>
            <w:rFonts w:ascii="微软雅黑" w:eastAsia="微软雅黑" w:hAnsi="微软雅黑" w:hint="eastAsia"/>
            <w:color w:val="0000FF"/>
            <w:u w:val="single"/>
            <w:bdr w:val="none" w:sz="0" w:space="0" w:color="auto" w:frame="1"/>
          </w:rPr>
          <w:t>阐释党</w:t>
        </w:r>
        <w:proofErr w:type="gramEnd"/>
        <w:r w:rsidR="004D6460" w:rsidRPr="004D6460">
          <w:rPr>
            <w:rFonts w:ascii="微软雅黑" w:eastAsia="微软雅黑" w:hAnsi="微软雅黑" w:hint="eastAsia"/>
            <w:color w:val="0000FF"/>
            <w:u w:val="single"/>
            <w:bdr w:val="none" w:sz="0" w:space="0" w:color="auto" w:frame="1"/>
          </w:rPr>
          <w:t>的十九届六中全会</w:t>
        </w:r>
        <w:proofErr w:type="gramStart"/>
        <w:r w:rsidR="004D6460" w:rsidRPr="004D6460">
          <w:rPr>
            <w:rFonts w:ascii="微软雅黑" w:eastAsia="微软雅黑" w:hAnsi="微软雅黑" w:hint="eastAsia"/>
            <w:color w:val="0000FF"/>
            <w:u w:val="single"/>
            <w:bdr w:val="none" w:sz="0" w:space="0" w:color="auto" w:frame="1"/>
          </w:rPr>
          <w:t>精神省</w:t>
        </w:r>
        <w:proofErr w:type="gramEnd"/>
        <w:r w:rsidR="004D6460" w:rsidRPr="004D6460">
          <w:rPr>
            <w:rFonts w:ascii="微软雅黑" w:eastAsia="微软雅黑" w:hAnsi="微软雅黑" w:hint="eastAsia"/>
            <w:color w:val="0000FF"/>
            <w:u w:val="single"/>
            <w:bdr w:val="none" w:sz="0" w:space="0" w:color="auto" w:frame="1"/>
          </w:rPr>
          <w:t>社科基金专项课题申请书</w:t>
        </w:r>
      </w:hyperlink>
    </w:p>
    <w:p w:rsidR="004D6460" w:rsidRPr="004D6460" w:rsidRDefault="004D6460" w:rsidP="004D6460">
      <w:pPr>
        <w:widowControl/>
        <w:shd w:val="clear" w:color="auto" w:fill="FFFFFF"/>
        <w:jc w:val="left"/>
        <w:rPr>
          <w:rFonts w:ascii="微软雅黑" w:eastAsia="微软雅黑" w:hAnsi="微软雅黑" w:cs="宋体" w:hint="eastAsia"/>
          <w:color w:val="333333"/>
          <w:kern w:val="0"/>
          <w:sz w:val="24"/>
          <w:szCs w:val="24"/>
        </w:rPr>
      </w:pPr>
      <w:r w:rsidRPr="004D6460">
        <w:rPr>
          <w:rFonts w:ascii="微软雅黑" w:eastAsia="微软雅黑" w:hAnsi="微软雅黑" w:cs="宋体" w:hint="eastAsia"/>
          <w:color w:val="333333"/>
          <w:kern w:val="0"/>
          <w:sz w:val="24"/>
          <w:szCs w:val="24"/>
          <w:bdr w:val="none" w:sz="0" w:space="0" w:color="auto" w:frame="1"/>
        </w:rPr>
        <w:t>               </w:t>
      </w:r>
      <w:r w:rsidRPr="004D6460">
        <w:rPr>
          <w:rFonts w:ascii="微软雅黑" w:eastAsia="微软雅黑" w:hAnsi="微软雅黑" w:cs="宋体" w:hint="eastAsia"/>
          <w:color w:val="0000FF"/>
          <w:kern w:val="0"/>
          <w:sz w:val="24"/>
          <w:szCs w:val="24"/>
          <w:bdr w:val="none" w:sz="0" w:space="0" w:color="auto" w:frame="1"/>
        </w:rPr>
        <w:t>  </w:t>
      </w:r>
      <w:hyperlink r:id="rId6" w:tgtFrame="_blank" w:history="1">
        <w:r w:rsidRPr="004D6460">
          <w:rPr>
            <w:rFonts w:ascii="微软雅黑" w:eastAsia="微软雅黑" w:hAnsi="微软雅黑" w:cs="宋体" w:hint="eastAsia"/>
            <w:color w:val="0000FF"/>
            <w:kern w:val="0"/>
            <w:sz w:val="24"/>
            <w:szCs w:val="24"/>
            <w:u w:val="single"/>
            <w:bdr w:val="none" w:sz="0" w:space="0" w:color="auto" w:frame="1"/>
          </w:rPr>
          <w:t>2. 研究</w:t>
        </w:r>
        <w:proofErr w:type="gramStart"/>
        <w:r w:rsidRPr="004D6460">
          <w:rPr>
            <w:rFonts w:ascii="微软雅黑" w:eastAsia="微软雅黑" w:hAnsi="微软雅黑" w:cs="宋体" w:hint="eastAsia"/>
            <w:color w:val="0000FF"/>
            <w:kern w:val="0"/>
            <w:sz w:val="24"/>
            <w:szCs w:val="24"/>
            <w:u w:val="single"/>
            <w:bdr w:val="none" w:sz="0" w:space="0" w:color="auto" w:frame="1"/>
          </w:rPr>
          <w:t>阐释党</w:t>
        </w:r>
        <w:proofErr w:type="gramEnd"/>
        <w:r w:rsidRPr="004D6460">
          <w:rPr>
            <w:rFonts w:ascii="微软雅黑" w:eastAsia="微软雅黑" w:hAnsi="微软雅黑" w:cs="宋体" w:hint="eastAsia"/>
            <w:color w:val="0000FF"/>
            <w:kern w:val="0"/>
            <w:sz w:val="24"/>
            <w:szCs w:val="24"/>
            <w:u w:val="single"/>
            <w:bdr w:val="none" w:sz="0" w:space="0" w:color="auto" w:frame="1"/>
          </w:rPr>
          <w:t>的十九届六中全会</w:t>
        </w:r>
        <w:proofErr w:type="gramStart"/>
        <w:r w:rsidRPr="004D6460">
          <w:rPr>
            <w:rFonts w:ascii="微软雅黑" w:eastAsia="微软雅黑" w:hAnsi="微软雅黑" w:cs="宋体" w:hint="eastAsia"/>
            <w:color w:val="0000FF"/>
            <w:kern w:val="0"/>
            <w:sz w:val="24"/>
            <w:szCs w:val="24"/>
            <w:u w:val="single"/>
            <w:bdr w:val="none" w:sz="0" w:space="0" w:color="auto" w:frame="1"/>
          </w:rPr>
          <w:t>精神省</w:t>
        </w:r>
        <w:proofErr w:type="gramEnd"/>
        <w:r w:rsidRPr="004D6460">
          <w:rPr>
            <w:rFonts w:ascii="微软雅黑" w:eastAsia="微软雅黑" w:hAnsi="微软雅黑" w:cs="宋体" w:hint="eastAsia"/>
            <w:color w:val="0000FF"/>
            <w:kern w:val="0"/>
            <w:sz w:val="24"/>
            <w:szCs w:val="24"/>
            <w:u w:val="single"/>
            <w:bdr w:val="none" w:sz="0" w:space="0" w:color="auto" w:frame="1"/>
          </w:rPr>
          <w:t>社科基金专项课题申报汇总表</w:t>
        </w:r>
      </w:hyperlink>
    </w:p>
    <w:p w:rsidR="00286352" w:rsidRPr="003A5AB3" w:rsidRDefault="00286352" w:rsidP="004D6460">
      <w:pPr>
        <w:widowControl/>
        <w:spacing w:line="510" w:lineRule="atLeast"/>
        <w:jc w:val="left"/>
        <w:rPr>
          <w:rFonts w:ascii="微软雅黑" w:eastAsia="微软雅黑" w:hAnsi="微软雅黑" w:cs="宋体" w:hint="eastAsia"/>
          <w:color w:val="333333"/>
          <w:kern w:val="0"/>
          <w:sz w:val="24"/>
          <w:szCs w:val="24"/>
        </w:rPr>
      </w:pPr>
    </w:p>
    <w:p w:rsidR="003A5AB3" w:rsidRPr="00286352" w:rsidRDefault="003A5AB3" w:rsidP="003A5AB3">
      <w:pPr>
        <w:widowControl/>
        <w:spacing w:line="510" w:lineRule="atLeast"/>
        <w:jc w:val="left"/>
        <w:rPr>
          <w:rFonts w:ascii="微软雅黑" w:eastAsia="微软雅黑" w:hAnsi="微软雅黑" w:cs="宋体"/>
          <w:color w:val="333333"/>
          <w:kern w:val="0"/>
          <w:sz w:val="24"/>
          <w:szCs w:val="24"/>
        </w:rPr>
      </w:pPr>
    </w:p>
    <w:p w:rsidR="003A5AB3" w:rsidRPr="003A5AB3" w:rsidRDefault="003A5AB3" w:rsidP="003A5AB3">
      <w:pPr>
        <w:widowControl/>
        <w:spacing w:line="510" w:lineRule="atLeast"/>
        <w:jc w:val="lef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w:t>
      </w:r>
      <w:bookmarkStart w:id="0" w:name="_GoBack"/>
      <w:bookmarkEnd w:id="0"/>
    </w:p>
    <w:p w:rsidR="003A5AB3" w:rsidRPr="003A5AB3" w:rsidRDefault="007A786F" w:rsidP="00826387">
      <w:pPr>
        <w:widowControl/>
        <w:spacing w:line="510" w:lineRule="atLeast"/>
        <w:jc w:val="right"/>
        <w:rPr>
          <w:rFonts w:ascii="微软雅黑" w:eastAsia="微软雅黑" w:hAnsi="微软雅黑" w:cs="宋体" w:hint="eastAsia"/>
          <w:color w:val="333333"/>
          <w:kern w:val="0"/>
          <w:sz w:val="24"/>
          <w:szCs w:val="24"/>
        </w:rPr>
      </w:pPr>
      <w:r>
        <w:rPr>
          <w:rFonts w:ascii="微软雅黑" w:eastAsia="微软雅黑" w:hAnsi="微软雅黑" w:cs="宋体" w:hint="eastAsia"/>
          <w:color w:val="333333"/>
          <w:kern w:val="0"/>
          <w:sz w:val="24"/>
          <w:szCs w:val="24"/>
        </w:rPr>
        <w:t>              </w:t>
      </w:r>
      <w:r w:rsidR="003A5AB3" w:rsidRPr="003A5AB3">
        <w:rPr>
          <w:rFonts w:ascii="微软雅黑" w:eastAsia="微软雅黑" w:hAnsi="微软雅黑" w:cs="宋体" w:hint="eastAsia"/>
          <w:color w:val="333333"/>
          <w:kern w:val="0"/>
          <w:sz w:val="24"/>
          <w:szCs w:val="24"/>
        </w:rPr>
        <w:t>江西省社会科学规划办公室</w:t>
      </w:r>
    </w:p>
    <w:p w:rsidR="003A5AB3" w:rsidRPr="003A5AB3" w:rsidRDefault="003A5AB3" w:rsidP="00826387">
      <w:pPr>
        <w:widowControl/>
        <w:spacing w:line="510" w:lineRule="atLeast"/>
        <w:ind w:right="960"/>
        <w:jc w:val="right"/>
        <w:rPr>
          <w:rFonts w:ascii="微软雅黑" w:eastAsia="微软雅黑" w:hAnsi="微软雅黑" w:cs="宋体" w:hint="eastAsia"/>
          <w:color w:val="333333"/>
          <w:kern w:val="0"/>
          <w:sz w:val="24"/>
          <w:szCs w:val="24"/>
        </w:rPr>
      </w:pPr>
      <w:r w:rsidRPr="003A5AB3">
        <w:rPr>
          <w:rFonts w:ascii="微软雅黑" w:eastAsia="微软雅黑" w:hAnsi="微软雅黑" w:cs="宋体" w:hint="eastAsia"/>
          <w:color w:val="333333"/>
          <w:kern w:val="0"/>
          <w:sz w:val="24"/>
          <w:szCs w:val="24"/>
        </w:rPr>
        <w:t xml:space="preserve">                                                  </w:t>
      </w:r>
      <w:r w:rsidR="00826387">
        <w:rPr>
          <w:rFonts w:ascii="微软雅黑" w:eastAsia="微软雅黑" w:hAnsi="微软雅黑" w:cs="宋体" w:hint="eastAsia"/>
          <w:color w:val="333333"/>
          <w:kern w:val="0"/>
          <w:sz w:val="24"/>
          <w:szCs w:val="24"/>
        </w:rPr>
        <w:t xml:space="preserve">  </w:t>
      </w:r>
      <w:r w:rsidRPr="003A5AB3">
        <w:rPr>
          <w:rFonts w:ascii="微软雅黑" w:eastAsia="微软雅黑" w:hAnsi="微软雅黑" w:cs="宋体" w:hint="eastAsia"/>
          <w:color w:val="333333"/>
          <w:kern w:val="0"/>
          <w:sz w:val="24"/>
          <w:szCs w:val="24"/>
        </w:rPr>
        <w:t>  2021年12月29日</w:t>
      </w:r>
    </w:p>
    <w:sectPr w:rsidR="003A5AB3" w:rsidRPr="003A5A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A03DF"/>
    <w:multiLevelType w:val="multilevel"/>
    <w:tmpl w:val="48569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A97682"/>
    <w:multiLevelType w:val="multilevel"/>
    <w:tmpl w:val="45D6B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65494B"/>
    <w:multiLevelType w:val="multilevel"/>
    <w:tmpl w:val="20F48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2D9"/>
    <w:rsid w:val="00286352"/>
    <w:rsid w:val="003A5AB3"/>
    <w:rsid w:val="0049464E"/>
    <w:rsid w:val="004D6460"/>
    <w:rsid w:val="005E27AF"/>
    <w:rsid w:val="007A786F"/>
    <w:rsid w:val="00826387"/>
    <w:rsid w:val="00947460"/>
    <w:rsid w:val="00A10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677B0"/>
  <w15:chartTrackingRefBased/>
  <w15:docId w15:val="{99C52DB1-2F88-44D1-9AC7-41F7BA8C2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A5AB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A5AB3"/>
    <w:rPr>
      <w:rFonts w:ascii="宋体" w:eastAsia="宋体" w:hAnsi="宋体" w:cs="宋体"/>
      <w:b/>
      <w:bCs/>
      <w:kern w:val="36"/>
      <w:sz w:val="48"/>
      <w:szCs w:val="48"/>
    </w:rPr>
  </w:style>
  <w:style w:type="paragraph" w:styleId="a3">
    <w:name w:val="Normal (Web)"/>
    <w:basedOn w:val="a"/>
    <w:uiPriority w:val="99"/>
    <w:semiHidden/>
    <w:unhideWhenUsed/>
    <w:rsid w:val="003A5A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A5AB3"/>
    <w:rPr>
      <w:b/>
      <w:bCs/>
    </w:rPr>
  </w:style>
  <w:style w:type="character" w:styleId="a5">
    <w:name w:val="Hyperlink"/>
    <w:basedOn w:val="a0"/>
    <w:uiPriority w:val="99"/>
    <w:semiHidden/>
    <w:unhideWhenUsed/>
    <w:rsid w:val="003A5AB3"/>
    <w:rPr>
      <w:color w:val="0000FF"/>
      <w:u w:val="single"/>
    </w:rPr>
  </w:style>
  <w:style w:type="character" w:customStyle="1" w:styleId="mc">
    <w:name w:val="mc"/>
    <w:basedOn w:val="a0"/>
    <w:rsid w:val="003A5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931855">
      <w:bodyDiv w:val="1"/>
      <w:marLeft w:val="0"/>
      <w:marRight w:val="0"/>
      <w:marTop w:val="0"/>
      <w:marBottom w:val="0"/>
      <w:divBdr>
        <w:top w:val="none" w:sz="0" w:space="0" w:color="auto"/>
        <w:left w:val="none" w:sz="0" w:space="0" w:color="auto"/>
        <w:bottom w:val="none" w:sz="0" w:space="0" w:color="auto"/>
        <w:right w:val="none" w:sz="0" w:space="0" w:color="auto"/>
      </w:divBdr>
      <w:divsChild>
        <w:div w:id="1090855390">
          <w:marLeft w:val="0"/>
          <w:marRight w:val="0"/>
          <w:marTop w:val="0"/>
          <w:marBottom w:val="0"/>
          <w:divBdr>
            <w:top w:val="none" w:sz="0" w:space="0" w:color="auto"/>
            <w:left w:val="none" w:sz="0" w:space="0" w:color="auto"/>
            <w:bottom w:val="none" w:sz="0" w:space="0" w:color="auto"/>
            <w:right w:val="none" w:sz="0" w:space="0" w:color="auto"/>
          </w:divBdr>
          <w:divsChild>
            <w:div w:id="1792238210">
              <w:marLeft w:val="0"/>
              <w:marRight w:val="0"/>
              <w:marTop w:val="0"/>
              <w:marBottom w:val="0"/>
              <w:divBdr>
                <w:top w:val="none" w:sz="0" w:space="0" w:color="auto"/>
                <w:left w:val="none" w:sz="0" w:space="0" w:color="auto"/>
                <w:bottom w:val="none" w:sz="0" w:space="0" w:color="auto"/>
                <w:right w:val="none" w:sz="0" w:space="0" w:color="auto"/>
              </w:divBdr>
              <w:divsChild>
                <w:div w:id="1443184213">
                  <w:marLeft w:val="0"/>
                  <w:marRight w:val="0"/>
                  <w:marTop w:val="0"/>
                  <w:marBottom w:val="0"/>
                  <w:divBdr>
                    <w:top w:val="none" w:sz="0" w:space="0" w:color="auto"/>
                    <w:left w:val="none" w:sz="0" w:space="0" w:color="auto"/>
                    <w:bottom w:val="none" w:sz="0" w:space="0" w:color="auto"/>
                    <w:right w:val="none" w:sz="0" w:space="0" w:color="auto"/>
                  </w:divBdr>
                </w:div>
              </w:divsChild>
            </w:div>
            <w:div w:id="809132167">
              <w:marLeft w:val="0"/>
              <w:marRight w:val="0"/>
              <w:marTop w:val="0"/>
              <w:marBottom w:val="0"/>
              <w:divBdr>
                <w:top w:val="none" w:sz="0" w:space="0" w:color="auto"/>
                <w:left w:val="none" w:sz="0" w:space="0" w:color="auto"/>
                <w:bottom w:val="none" w:sz="0" w:space="0" w:color="auto"/>
                <w:right w:val="none" w:sz="0" w:space="0" w:color="auto"/>
              </w:divBdr>
              <w:divsChild>
                <w:div w:id="797996658">
                  <w:marLeft w:val="0"/>
                  <w:marRight w:val="0"/>
                  <w:marTop w:val="0"/>
                  <w:marBottom w:val="300"/>
                  <w:divBdr>
                    <w:top w:val="none" w:sz="0" w:space="0" w:color="auto"/>
                    <w:left w:val="none" w:sz="0" w:space="0" w:color="auto"/>
                    <w:bottom w:val="single" w:sz="6" w:space="18" w:color="CCCCCC"/>
                    <w:right w:val="none" w:sz="0" w:space="0" w:color="auto"/>
                  </w:divBdr>
                </w:div>
                <w:div w:id="1125269129">
                  <w:marLeft w:val="0"/>
                  <w:marRight w:val="0"/>
                  <w:marTop w:val="0"/>
                  <w:marBottom w:val="300"/>
                  <w:divBdr>
                    <w:top w:val="none" w:sz="0" w:space="0" w:color="auto"/>
                    <w:left w:val="none" w:sz="0" w:space="0" w:color="auto"/>
                    <w:bottom w:val="single" w:sz="6" w:space="18" w:color="CCCCCC"/>
                    <w:right w:val="none" w:sz="0" w:space="0" w:color="auto"/>
                  </w:divBdr>
                </w:div>
                <w:div w:id="955985267">
                  <w:marLeft w:val="0"/>
                  <w:marRight w:val="0"/>
                  <w:marTop w:val="0"/>
                  <w:marBottom w:val="300"/>
                  <w:divBdr>
                    <w:top w:val="none" w:sz="0" w:space="0" w:color="auto"/>
                    <w:left w:val="none" w:sz="0" w:space="0" w:color="auto"/>
                    <w:bottom w:val="single" w:sz="6" w:space="18" w:color="CCCCCC"/>
                    <w:right w:val="none" w:sz="0" w:space="0" w:color="auto"/>
                  </w:divBdr>
                </w:div>
              </w:divsChild>
            </w:div>
          </w:divsChild>
        </w:div>
        <w:div w:id="902064921">
          <w:marLeft w:val="0"/>
          <w:marRight w:val="0"/>
          <w:marTop w:val="0"/>
          <w:marBottom w:val="0"/>
          <w:divBdr>
            <w:top w:val="none" w:sz="0" w:space="0" w:color="auto"/>
            <w:left w:val="none" w:sz="0" w:space="0" w:color="auto"/>
            <w:bottom w:val="none" w:sz="0" w:space="0" w:color="auto"/>
            <w:right w:val="none" w:sz="0" w:space="0" w:color="auto"/>
          </w:divBdr>
        </w:div>
      </w:divsChild>
    </w:div>
    <w:div w:id="142850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xnews.com.cn/doc/003/033/283/00303328354_e04b41fa.xls" TargetMode="External"/><Relationship Id="rId5" Type="http://schemas.openxmlformats.org/officeDocument/2006/relationships/hyperlink" Target="https://www.jxnews.com.cn/doc/003/033/283/00303328353_fe5ea7bb.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344</Words>
  <Characters>1965</Characters>
  <Application>Microsoft Office Word</Application>
  <DocSecurity>0</DocSecurity>
  <Lines>16</Lines>
  <Paragraphs>4</Paragraphs>
  <ScaleCrop>false</ScaleCrop>
  <Company>P R C</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2022-01-04T02:15:00Z</dcterms:created>
  <dcterms:modified xsi:type="dcterms:W3CDTF">2022-01-04T02:22:00Z</dcterms:modified>
</cp:coreProperties>
</file>