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89"/>
        </w:tabs>
        <w:spacing w:line="500" w:lineRule="exact"/>
        <w:rPr>
          <w:rFonts w:hint="eastAsia" w:ascii="黑体" w:hAnsi="宋体" w:eastAsia="黑体"/>
          <w:bCs/>
          <w:color w:val="0000FF"/>
          <w:sz w:val="32"/>
          <w:szCs w:val="32"/>
        </w:rPr>
      </w:pPr>
    </w:p>
    <w:p>
      <w:pPr>
        <w:tabs>
          <w:tab w:val="left" w:pos="989"/>
        </w:tabs>
        <w:spacing w:line="500" w:lineRule="exact"/>
        <w:rPr>
          <w:rFonts w:hint="eastAsia" w:ascii="黑体" w:hAnsi="宋体" w:eastAsia="黑体"/>
          <w:bCs/>
          <w:color w:val="0000FF"/>
          <w:sz w:val="32"/>
          <w:szCs w:val="32"/>
        </w:rPr>
      </w:pPr>
    </w:p>
    <w:p>
      <w:pPr>
        <w:tabs>
          <w:tab w:val="left" w:pos="989"/>
        </w:tabs>
        <w:spacing w:line="500" w:lineRule="exact"/>
        <w:rPr>
          <w:rFonts w:hint="eastAsia" w:ascii="黑体" w:hAnsi="宋体" w:eastAsia="黑体"/>
          <w:bCs/>
          <w:color w:val="0000FF"/>
          <w:sz w:val="32"/>
          <w:szCs w:val="32"/>
        </w:rPr>
      </w:pPr>
    </w:p>
    <w:p>
      <w:pPr>
        <w:jc w:val="distribute"/>
        <w:rPr>
          <w:rFonts w:hint="eastAsia" w:ascii="方正小标宋_GBK" w:hAnsi="方正小标宋_GBK" w:eastAsia="方正小标宋_GBK"/>
          <w:b w:val="0"/>
          <w:bCs w:val="0"/>
          <w:color w:val="FF0000"/>
          <w:spacing w:val="-14"/>
          <w:w w:val="70"/>
          <w:sz w:val="126"/>
          <w:szCs w:val="126"/>
          <w:lang w:eastAsia="zh-CN"/>
        </w:rPr>
      </w:pPr>
      <w:r>
        <w:rPr>
          <w:rFonts w:hint="eastAsia" w:ascii="方正小标宋_GBK" w:hAnsi="方正小标宋_GBK" w:eastAsia="方正小标宋_GBK"/>
          <w:b w:val="0"/>
          <w:bCs w:val="0"/>
          <w:color w:val="FF0000"/>
          <w:spacing w:val="-14"/>
          <w:w w:val="70"/>
          <w:sz w:val="126"/>
          <w:szCs w:val="126"/>
        </w:rPr>
        <w:t>江西省文化</w:t>
      </w:r>
      <w:r>
        <w:rPr>
          <w:rFonts w:hint="eastAsia" w:ascii="方正小标宋_GBK" w:hAnsi="方正小标宋_GBK" w:eastAsia="方正小标宋_GBK"/>
          <w:b w:val="0"/>
          <w:bCs w:val="0"/>
          <w:color w:val="FF0000"/>
          <w:spacing w:val="-14"/>
          <w:w w:val="70"/>
          <w:sz w:val="126"/>
          <w:szCs w:val="126"/>
          <w:lang w:eastAsia="zh-CN"/>
        </w:rPr>
        <w:t>艺术科学</w:t>
      </w:r>
    </w:p>
    <w:p>
      <w:pPr>
        <w:jc w:val="distribute"/>
        <w:rPr>
          <w:rFonts w:hint="eastAsia" w:ascii="方正小标宋_GBK" w:hAnsi="方正小标宋_GBK" w:eastAsia="方正小标宋_GBK"/>
          <w:b w:val="0"/>
          <w:bCs w:val="0"/>
          <w:color w:val="FF0000"/>
          <w:w w:val="70"/>
          <w:sz w:val="126"/>
          <w:szCs w:val="126"/>
        </w:rPr>
      </w:pPr>
      <w:r>
        <w:rPr>
          <w:rFonts w:hint="eastAsia" w:ascii="方正小标宋_GBK" w:hAnsi="方正小标宋_GBK" w:eastAsia="方正小标宋_GBK"/>
          <w:b w:val="0"/>
          <w:bCs w:val="0"/>
          <w:color w:val="FF0000"/>
          <w:spacing w:val="-14"/>
          <w:w w:val="70"/>
          <w:sz w:val="126"/>
          <w:szCs w:val="126"/>
          <w:lang w:eastAsia="zh-CN"/>
        </w:rPr>
        <w:t>规划</w:t>
      </w:r>
      <w:r>
        <w:rPr>
          <w:rFonts w:hint="eastAsia" w:ascii="方正小标宋_GBK" w:hAnsi="方正小标宋_GBK" w:eastAsia="方正小标宋_GBK"/>
          <w:b w:val="0"/>
          <w:bCs w:val="0"/>
          <w:color w:val="FF0000"/>
          <w:w w:val="70"/>
          <w:sz w:val="126"/>
          <w:szCs w:val="126"/>
          <w:lang w:eastAsia="zh-CN"/>
        </w:rPr>
        <w:t>领导小组办公室</w:t>
      </w:r>
    </w:p>
    <w:p>
      <w:pPr>
        <w:rPr>
          <w:rFonts w:hint="eastAsia" w:ascii="宋体" w:hAnsi="宋体"/>
          <w:b/>
          <w:bCs/>
          <w:color w:val="FF0000"/>
          <w:sz w:val="10"/>
          <w:szCs w:val="10"/>
        </w:rPr>
      </w:pPr>
    </w:p>
    <w:p>
      <w:pPr>
        <w:spacing w:line="420" w:lineRule="exact"/>
        <w:jc w:val="center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赣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文艺规</w:t>
      </w:r>
      <w:r>
        <w:rPr>
          <w:rFonts w:hint="eastAsia" w:ascii="仿宋_GB2312" w:hAnsi="宋体" w:eastAsia="仿宋_GB2312"/>
          <w:bCs/>
          <w:sz w:val="32"/>
          <w:szCs w:val="32"/>
        </w:rPr>
        <w:t>〔</w:t>
      </w:r>
      <w:r>
        <w:rPr>
          <w:rFonts w:hint="eastAsia" w:ascii="仿宋_GB2312" w:hAnsi="Dotum" w:eastAsia="仿宋_GB2312" w:cs="Arial"/>
          <w:bCs/>
          <w:sz w:val="32"/>
          <w:szCs w:val="32"/>
        </w:rPr>
        <w:t>201</w:t>
      </w:r>
      <w:r>
        <w:rPr>
          <w:rFonts w:hint="eastAsia" w:ascii="仿宋_GB2312" w:hAnsi="Dotum" w:eastAsia="仿宋_GB2312" w:cs="Arial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sz w:val="32"/>
          <w:szCs w:val="32"/>
        </w:rPr>
        <w:t>〕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32"/>
          <w:szCs w:val="32"/>
        </w:rPr>
        <w:t>号</w:t>
      </w:r>
    </w:p>
    <w:p>
      <w:pPr>
        <w:spacing w:line="420" w:lineRule="exact"/>
        <w:rPr>
          <w:rFonts w:hint="eastAsia" w:hAnsi="宋体"/>
          <w:bCs/>
          <w:u w:val="thick" w:color="FF0000"/>
        </w:rPr>
      </w:pPr>
      <w:r>
        <w:rPr>
          <w:rFonts w:hint="eastAsia" w:hAnsi="宋体"/>
          <w:bCs/>
          <w:u w:val="thick" w:color="FF0000"/>
        </w:rPr>
        <w:t xml:space="preserve">                                                                                   </w:t>
      </w:r>
      <w:r>
        <w:rPr>
          <w:rFonts w:hint="eastAsia" w:hAnsi="宋体"/>
          <w:bCs/>
          <w:u w:val="thick" w:color="FF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宋体" w:eastAsia="黑体"/>
          <w:b/>
          <w:bCs/>
          <w:kern w:val="0"/>
          <w:u w:val="single"/>
        </w:rPr>
      </w:pPr>
      <w:r>
        <w:rPr>
          <w:rFonts w:hint="eastAsia" w:hAnsi="宋体"/>
          <w:b/>
          <w:bCs/>
        </w:rPr>
        <w:t xml:space="preserve"> </w:t>
      </w:r>
    </w:p>
    <w:p>
      <w:pPr>
        <w:bidi w:val="0"/>
        <w:spacing w:line="560" w:lineRule="exact"/>
        <w:ind w:leftChars="0" w:rightChars="0" w:firstLineChars="0"/>
        <w:jc w:val="center"/>
        <w:outlineLvl w:val="0"/>
        <w:rPr>
          <w:rFonts w:hint="eastAsia" w:ascii="方正小标宋_GBK" w:hAnsi="方正小标宋_GBK" w:eastAsia="方正小标宋_GBK" w:cs="方正小标宋_GBK"/>
          <w:outline w:val="0"/>
          <w:shadow w:val="0"/>
          <w:emboss w:val="0"/>
          <w:imprint w:val="0"/>
          <w:vanish w:val="0"/>
          <w:w w:val="100"/>
          <w:sz w:val="44"/>
          <w:szCs w:val="32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outline w:val="0"/>
          <w:shadow w:val="0"/>
          <w:emboss w:val="0"/>
          <w:imprint w:val="0"/>
          <w:vanish w:val="0"/>
          <w:w w:val="100"/>
          <w:sz w:val="44"/>
          <w:szCs w:val="32"/>
          <w:u w:val="none"/>
          <w:lang w:eastAsia="zh-CN"/>
        </w:rPr>
        <w:t>关于进一步明确省文化艺术规划项目</w:t>
      </w:r>
    </w:p>
    <w:p>
      <w:pPr>
        <w:bidi w:val="0"/>
        <w:spacing w:line="560" w:lineRule="exact"/>
        <w:ind w:leftChars="0" w:rightChars="0" w:firstLineChars="0"/>
        <w:jc w:val="center"/>
        <w:outlineLvl w:val="0"/>
        <w:rPr>
          <w:rFonts w:hint="eastAsia" w:ascii="方正小标宋_GBK" w:hAnsi="方正小标宋_GBK" w:eastAsia="方正小标宋_GBK" w:cs="方正小标宋_GBK"/>
          <w:outline w:val="0"/>
          <w:shadow w:val="0"/>
          <w:emboss w:val="0"/>
          <w:imprint w:val="0"/>
          <w:vanish w:val="0"/>
          <w:w w:val="100"/>
          <w:sz w:val="44"/>
          <w:szCs w:val="32"/>
          <w:u w:val="none"/>
        </w:rPr>
      </w:pPr>
      <w:r>
        <w:rPr>
          <w:rFonts w:hint="eastAsia" w:ascii="方正小标宋_GBK" w:hAnsi="方正小标宋_GBK" w:eastAsia="方正小标宋_GBK" w:cs="方正小标宋_GBK"/>
          <w:outline w:val="0"/>
          <w:shadow w:val="0"/>
          <w:emboss w:val="0"/>
          <w:imprint w:val="0"/>
          <w:vanish w:val="0"/>
          <w:w w:val="100"/>
          <w:sz w:val="44"/>
          <w:szCs w:val="32"/>
          <w:u w:val="none"/>
          <w:lang w:eastAsia="zh-CN"/>
        </w:rPr>
        <w:t>有关事项的通知</w:t>
      </w:r>
    </w:p>
    <w:p>
      <w:pPr>
        <w:jc w:val="center"/>
        <w:rPr>
          <w:rFonts w:hint="eastAsia" w:eastAsia="宋体"/>
          <w:sz w:val="32"/>
          <w:szCs w:val="32"/>
          <w:lang w:eastAsia="zh-CN"/>
        </w:rPr>
      </w:pPr>
    </w:p>
    <w:p>
      <w:pPr>
        <w:bidi w:val="0"/>
        <w:spacing w:line="600" w:lineRule="exact"/>
        <w:ind w:leftChars="0" w:rightChars="0" w:firstLineChars="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  <w:t>各有关单位: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  <w:t>随着省文化艺术规划项目工作逐渐深入，出现了一些新情况，需要不断明确和完善，我们组织专家进行了有</w:t>
      </w: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关论证,并形成纪要如下，请遵照执行: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 xml:space="preserve">  1、赣艺规</w:t>
      </w:r>
      <w:r>
        <w:rPr>
          <w:rFonts w:hint="eastAsia" w:ascii="仿宋_GB2312" w:hAnsi="宋体" w:eastAsia="仿宋_GB2312"/>
          <w:bCs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2016</w:t>
      </w:r>
      <w:r>
        <w:rPr>
          <w:rFonts w:hint="eastAsia" w:ascii="仿宋_GB2312" w:hAnsi="宋体" w:eastAsia="仿宋_GB2312"/>
          <w:bCs/>
          <w:sz w:val="32"/>
          <w:szCs w:val="32"/>
        </w:rPr>
        <w:t>〕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1号文中所述“2016年（含）以后立项的重点项目，至少应有1篇中文核心及以上刊物论文”，该“中文核心及以上刊物论文”是指《中文核心期刊要目总览》、CSSCI（含扩展版）、CSCD（含扩展库）的期刊论文，和以书号出版的CSSCI集刊论文，以及被《新华文摘》、《中国社会科学文摘》、《人大复印报刊资料》、《高等学校文科学术文摘》全文转载的论文，</w:t>
      </w:r>
      <w:r>
        <w:rPr>
          <w:rFonts w:hint="eastAsia" w:ascii="仿宋_GB2312" w:hAnsi="仿宋_GB2312" w:eastAsia="仿宋_GB2312" w:cs="仿宋_GB2312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和SCI、SSCI、EI、A &amp; HCI收录的论文</w:t>
      </w: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。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2、期刊增刊的论文</w:t>
      </w:r>
      <w:r>
        <w:rPr>
          <w:rFonts w:hint="eastAsia" w:ascii="仿宋_GB2312" w:hAnsi="仿宋_GB2312" w:eastAsia="仿宋_GB2312" w:cs="仿宋_GB2312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和以书号出版的非CSSCI集刊论文</w:t>
      </w: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不计入结题所要求的论文基数。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3、篇幅2个版面及以上方计1篇论文。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4、同一层次课题标注只能用作一次结题成果（国家级课题除外）。</w:t>
      </w:r>
    </w:p>
    <w:p>
      <w:pPr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kern w:val="2"/>
          <w:sz w:val="32"/>
          <w:szCs w:val="32"/>
          <w:u w:val="none"/>
          <w:lang w:val="en-US" w:eastAsia="zh-CN" w:bidi="ar-SA"/>
        </w:rPr>
        <w:t>5、自2017年9月起执行。</w:t>
      </w:r>
    </w:p>
    <w:p>
      <w:p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  <w:t>特此通知。</w:t>
      </w:r>
    </w:p>
    <w:p>
      <w:p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</w:pPr>
    </w:p>
    <w:p>
      <w:p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eastAsia="zh-CN"/>
        </w:rPr>
      </w:pPr>
    </w:p>
    <w:p>
      <w:pPr>
        <w:widowControl w:val="0"/>
        <w:numPr>
          <w:ilvl w:val="0"/>
          <w:numId w:val="0"/>
        </w:numPr>
        <w:bidi w:val="0"/>
        <w:spacing w:line="600" w:lineRule="exact"/>
        <w:ind w:leftChars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 w:val="0"/>
        <w:bidi w:val="0"/>
        <w:spacing w:line="600" w:lineRule="exact"/>
        <w:ind w:leftChars="0" w:rightChars="0" w:firstLine="640" w:firstLineChars="200"/>
        <w:jc w:val="right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val="en-US" w:eastAsia="zh-CN"/>
        </w:rPr>
        <w:t xml:space="preserve">2016年12月7日    </w:t>
      </w:r>
    </w:p>
    <w:p>
      <w:pPr>
        <w:widowControl w:val="0"/>
        <w:numPr>
          <w:ilvl w:val="0"/>
          <w:numId w:val="0"/>
        </w:numPr>
        <w:wordWrap/>
        <w:bidi w:val="0"/>
        <w:spacing w:line="600" w:lineRule="exact"/>
        <w:ind w:leftChars="0" w:rightChars="0" w:firstLine="640" w:firstLineChars="200"/>
        <w:jc w:val="right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  <w:lang w:val="en-US" w:eastAsia="zh-CN"/>
        </w:rPr>
      </w:pPr>
    </w:p>
    <w:p>
      <w:pPr>
        <w:wordWrap/>
        <w:bidi w:val="0"/>
        <w:spacing w:line="600" w:lineRule="exact"/>
        <w:ind w:leftChars="0" w:rightChars="0" w:firstLine="640" w:firstLineChars="200"/>
        <w:jc w:val="right"/>
        <w:outlineLvl w:val="9"/>
        <w:rPr>
          <w:rFonts w:hint="eastAsia" w:ascii="仿宋_GB2312" w:hAnsi="仿宋_GB2312" w:eastAsia="仿宋_GB2312" w:cs="仿宋_GB2312"/>
          <w:vanish w:val="0"/>
          <w:color w:val="0C0C0C"/>
          <w:w w:val="100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>
      <w:pPr>
        <w:spacing w:line="600" w:lineRule="exact"/>
        <w:rPr>
          <w:rFonts w:hint="eastAsia" w:hAnsi="宋体"/>
          <w:bCs/>
          <w:sz w:val="28"/>
          <w:szCs w:val="28"/>
          <w:u w:val="thick"/>
        </w:rPr>
      </w:pPr>
      <w:r>
        <w:rPr>
          <w:rFonts w:hAnsi="宋体"/>
          <w:bCs/>
          <w:sz w:val="28"/>
          <w:szCs w:val="28"/>
          <w:u w:val="thick"/>
        </w:rPr>
        <w:t xml:space="preserve">                                                          </w:t>
      </w:r>
      <w:r>
        <w:rPr>
          <w:rFonts w:hint="eastAsia" w:hAnsi="宋体"/>
          <w:bCs/>
          <w:sz w:val="28"/>
          <w:szCs w:val="28"/>
          <w:u w:val="thick"/>
          <w:lang w:val="en-US" w:eastAsia="zh-CN"/>
        </w:rPr>
        <w:t xml:space="preserve">  </w:t>
      </w:r>
      <w:r>
        <w:rPr>
          <w:rFonts w:hAnsi="宋体"/>
          <w:bCs/>
          <w:sz w:val="28"/>
          <w:szCs w:val="28"/>
          <w:u w:val="thick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outline w:val="0"/>
          <w:shadow w:val="0"/>
          <w:emboss w:val="0"/>
          <w:imprint w:val="0"/>
          <w:vanish w:val="0"/>
          <w:w w:val="100"/>
          <w:sz w:val="32"/>
          <w:szCs w:val="32"/>
          <w:u w:val="none"/>
        </w:rPr>
      </w:pPr>
      <w:r>
        <w:rPr>
          <w:rFonts w:hint="eastAsia" w:ascii="仿宋_GB2312" w:eastAsia="仿宋_GB2312"/>
          <w:sz w:val="28"/>
          <w:szCs w:val="28"/>
          <w:u w:val="thick"/>
        </w:rPr>
        <w:t xml:space="preserve">江西省文化厅办公室              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thick"/>
        </w:rPr>
        <w:t xml:space="preserve">   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thick"/>
        </w:rPr>
        <w:t xml:space="preserve"> 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thick"/>
        </w:rPr>
        <w:t xml:space="preserve"> 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thick"/>
          <w:lang w:eastAsia="zh-CN"/>
        </w:rPr>
        <w:t>201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  <w:u w:val="thick"/>
          <w:lang w:eastAsia="zh-CN"/>
        </w:rPr>
        <w:t>年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  <w:u w:val="thick"/>
          <w:lang w:eastAsia="zh-CN"/>
        </w:rPr>
        <w:t>月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  <w:u w:val="thick"/>
          <w:lang w:eastAsia="zh-CN"/>
        </w:rPr>
        <w:t>日</w:t>
      </w:r>
      <w:r>
        <w:rPr>
          <w:rFonts w:hint="eastAsia" w:ascii="仿宋_GB2312" w:eastAsia="仿宋_GB2312"/>
          <w:sz w:val="28"/>
          <w:szCs w:val="28"/>
          <w:u w:val="thick"/>
        </w:rPr>
        <w:t>印发</w:t>
      </w:r>
      <w:r>
        <w:rPr>
          <w:rFonts w:hint="eastAsia" w:ascii="仿宋_GB2312" w:eastAsia="仿宋_GB2312"/>
          <w:sz w:val="28"/>
          <w:szCs w:val="28"/>
          <w:u w:val="thick"/>
          <w:lang w:val="en-US" w:eastAsia="zh-CN"/>
        </w:rPr>
        <w:t xml:space="preserve"> </w:t>
      </w:r>
    </w:p>
    <w:sectPr>
      <w:pgSz w:w="11906" w:h="16838"/>
      <w:pgMar w:top="2098" w:right="1474" w:bottom="1984" w:left="1588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3D"/>
    <w:rsid w:val="0011283D"/>
    <w:rsid w:val="0028409C"/>
    <w:rsid w:val="002F6808"/>
    <w:rsid w:val="0049767A"/>
    <w:rsid w:val="0071657D"/>
    <w:rsid w:val="007F22ED"/>
    <w:rsid w:val="00AB2F9A"/>
    <w:rsid w:val="00B25640"/>
    <w:rsid w:val="00B95B98"/>
    <w:rsid w:val="00D607D2"/>
    <w:rsid w:val="00D62528"/>
    <w:rsid w:val="00E20721"/>
    <w:rsid w:val="04280172"/>
    <w:rsid w:val="16583E68"/>
    <w:rsid w:val="19DF30F2"/>
    <w:rsid w:val="200D4DB0"/>
    <w:rsid w:val="21A25D0D"/>
    <w:rsid w:val="24DC0DDE"/>
    <w:rsid w:val="33104D7B"/>
    <w:rsid w:val="34F11734"/>
    <w:rsid w:val="35C011DB"/>
    <w:rsid w:val="3B9F264F"/>
    <w:rsid w:val="580D5275"/>
    <w:rsid w:val="613F2317"/>
    <w:rsid w:val="6CDE2FF0"/>
    <w:rsid w:val="6EC3790F"/>
    <w:rsid w:val="7C8E65C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214</Characters>
  <Lines>2</Lines>
  <Paragraphs>1</Paragraphs>
  <ScaleCrop>false</ScaleCrop>
  <LinksUpToDate>false</LinksUpToDate>
  <CharactersWithSpaces>214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2016-01-27T02:00:00Z</dcterms:created>
  <dc:creator>company</dc:creator>
  <cp:lastModifiedBy>admin</cp:lastModifiedBy>
  <cp:lastPrinted>2016-01-27T02:09:00Z</cp:lastPrinted>
  <dcterms:modified xsi:type="dcterms:W3CDTF">2017-01-16T06:36:53Z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