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jc w:val="center"/>
        <w:rPr>
          <w:rFonts w:ascii="黑体" w:eastAsia="黑体"/>
          <w:color w:val="000000" w:themeColor="text1"/>
          <w:sz w:val="32"/>
        </w:rPr>
      </w:pPr>
    </w:p>
    <w:p>
      <w:pPr>
        <w:shd w:val="clear" w:color="auto" w:fill="FFFFFF"/>
        <w:jc w:val="center"/>
        <w:rPr>
          <w:rFonts w:ascii="黑体" w:eastAsia="黑体"/>
          <w:color w:val="000000" w:themeColor="text1"/>
          <w:sz w:val="32"/>
        </w:rPr>
      </w:pPr>
      <w:r>
        <w:rPr>
          <w:rFonts w:ascii="黑体" w:eastAsia="黑体"/>
          <w:color w:val="000000" w:themeColor="text1"/>
          <w:sz w:val="32"/>
        </w:rPr>
        <w:pict>
          <v:shape id="_x0000_s1026" o:spid="_x0000_s1026" o:spt="136" type="#_x0000_t136" style="position:absolute;left:0pt;margin-left:0pt;margin-top:39pt;height:57pt;width:439.5pt;mso-wrap-distance-bottom:0pt;mso-wrap-distance-left:9pt;mso-wrap-distance-right:9pt;mso-wrap-distance-top:0pt;z-index:251659264;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text-align:center;"/>
            <w10:wrap type="square"/>
          </v:shape>
        </w:pict>
      </w:r>
    </w:p>
    <w:p>
      <w:pPr>
        <w:shd w:val="clear" w:color="auto" w:fill="FFFFFF"/>
        <w:jc w:val="center"/>
        <w:rPr>
          <w:rFonts w:ascii="黑体" w:eastAsia="黑体"/>
          <w:color w:val="000000" w:themeColor="text1"/>
          <w:sz w:val="32"/>
        </w:rPr>
      </w:pPr>
    </w:p>
    <w:p>
      <w:pPr>
        <w:shd w:val="clear" w:color="auto" w:fill="FFFFFF"/>
        <w:jc w:val="center"/>
        <w:rPr>
          <w:rFonts w:ascii="黑体" w:eastAsia="黑体"/>
          <w:color w:val="000000" w:themeColor="text1"/>
          <w:sz w:val="32"/>
        </w:rPr>
      </w:pPr>
    </w:p>
    <w:p>
      <w:pPr>
        <w:shd w:val="clear" w:color="auto" w:fill="FFFFFF"/>
        <w:jc w:val="center"/>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 xml:space="preserve">赣社规字〔2020〕1号 </w:t>
      </w:r>
    </w:p>
    <w:p>
      <w:pPr>
        <w:shd w:val="clear" w:color="auto" w:fill="FFFFFF"/>
        <w:spacing w:line="400" w:lineRule="exact"/>
        <w:jc w:val="center"/>
        <w:rPr>
          <w:rFonts w:ascii="方正小标宋简体" w:eastAsia="方正小标宋简体"/>
          <w:color w:val="000000" w:themeColor="text1"/>
          <w:sz w:val="44"/>
          <w:szCs w:val="44"/>
        </w:rPr>
      </w:pPr>
      <w:r>
        <w:rPr>
          <w:rFonts w:eastAsia="方正仿宋简体"/>
          <w:color w:val="000000" w:themeColor="text1"/>
          <w:sz w:val="28"/>
        </w:rPr>
        <w:pict>
          <v:line id="直线 3" o:spid="_x0000_s1030" o:spt="20" style="position:absolute;left:0pt;margin-left:-3.15pt;margin-top:7.35pt;height:0pt;width:450pt;z-index:251660288;mso-width-relative:page;mso-height-relative:page;" stroked="t" coordsize="21600,21600" o:gfxdata="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aWI1/XAAAACAEAAA8AAAAAAAAAAQAgAAAA&#10;IgAAAGRycy9kb3ducmV2LnhtbFBLAQIUABQAAAAIAIdO4kDsaBru0wEAAJwDAAAOAAAAAAAAAAEA&#10;IAAAACYBAABkcnMvZTJvRG9jLnhtbFBLBQYAAAAABgAGAFkBAABrBQAAAAA=&#10;">
            <v:path arrowok="t"/>
            <v:fill focussize="0,0"/>
            <v:stroke weight="1.5pt" color="#FF0000"/>
            <v:imagedata o:title=""/>
            <o:lock v:ext="edit"/>
          </v:line>
        </w:pict>
      </w:r>
    </w:p>
    <w:p>
      <w:pPr>
        <w:widowControl/>
        <w:shd w:val="clear" w:color="auto" w:fill="FFFFFF"/>
        <w:snapToGrid w:val="0"/>
        <w:rPr>
          <w:rFonts w:ascii="方正小标宋简体" w:hAnsi="宋体" w:eastAsia="方正小标宋简体" w:cs="宋体"/>
          <w:color w:val="000000" w:themeColor="text1"/>
          <w:kern w:val="0"/>
          <w:sz w:val="44"/>
          <w:szCs w:val="44"/>
        </w:rPr>
      </w:pPr>
    </w:p>
    <w:p>
      <w:pPr>
        <w:widowControl/>
        <w:shd w:val="clear" w:color="auto" w:fill="FFFFFF"/>
        <w:snapToGrid w:val="0"/>
        <w:jc w:val="center"/>
        <w:rPr>
          <w:rFonts w:ascii="方正小标宋简体" w:hAnsi="宋体" w:eastAsia="方正小标宋简体" w:cs="宋体"/>
          <w:color w:val="000000" w:themeColor="text1"/>
          <w:kern w:val="0"/>
          <w:sz w:val="44"/>
          <w:szCs w:val="44"/>
        </w:rPr>
      </w:pPr>
      <w:r>
        <w:rPr>
          <w:rFonts w:hint="eastAsia" w:ascii="方正小标宋简体" w:hAnsi="宋体" w:eastAsia="方正小标宋简体" w:cs="宋体"/>
          <w:color w:val="000000" w:themeColor="text1"/>
          <w:kern w:val="0"/>
          <w:sz w:val="44"/>
          <w:szCs w:val="44"/>
        </w:rPr>
        <w:t>关于开展江西省社会科学</w:t>
      </w:r>
      <w:r>
        <w:rPr>
          <w:rFonts w:hint="eastAsia" w:ascii="方正小标宋简体" w:hAnsi="宋体" w:eastAsia="方正小标宋简体" w:cs="宋体"/>
          <w:color w:val="000000" w:themeColor="text1"/>
          <w:spacing w:val="-20"/>
          <w:kern w:val="0"/>
          <w:sz w:val="44"/>
          <w:szCs w:val="44"/>
        </w:rPr>
        <w:t>“十三五”（2020年）</w:t>
      </w:r>
      <w:r>
        <w:rPr>
          <w:rFonts w:hint="eastAsia" w:ascii="方正小标宋简体" w:hAnsi="宋体" w:eastAsia="方正小标宋简体" w:cs="宋体"/>
          <w:color w:val="000000" w:themeColor="text1"/>
          <w:kern w:val="0"/>
          <w:sz w:val="44"/>
          <w:szCs w:val="44"/>
        </w:rPr>
        <w:t>基金项目申报工作的通知</w:t>
      </w:r>
    </w:p>
    <w:p>
      <w:pPr>
        <w:widowControl/>
        <w:shd w:val="clear" w:color="auto" w:fill="FFFFFF"/>
        <w:spacing w:line="400" w:lineRule="exact"/>
        <w:jc w:val="left"/>
        <w:rPr>
          <w:rFonts w:ascii="方正仿宋简体" w:hAnsi="宋体" w:eastAsia="方正仿宋简体" w:cs="宋体"/>
          <w:color w:val="000000" w:themeColor="text1"/>
          <w:kern w:val="0"/>
          <w:sz w:val="28"/>
          <w:szCs w:val="28"/>
        </w:rPr>
      </w:pPr>
    </w:p>
    <w:p>
      <w:pPr>
        <w:shd w:val="clear" w:color="auto" w:fill="FFFFFF"/>
        <w:spacing w:line="600" w:lineRule="exact"/>
        <w:ind w:firstLine="640" w:firstLineChars="20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《江西省社会科学“十三五”（2020年）基金项目课题指南》（以下简称《课题指南》）经研究,同意予以发布。现将项目申报工作的有关事项通知如下：</w:t>
      </w:r>
    </w:p>
    <w:p>
      <w:pPr>
        <w:shd w:val="clear" w:color="auto" w:fill="FFFFFF"/>
        <w:spacing w:line="600" w:lineRule="exact"/>
        <w:ind w:firstLine="643" w:firstLineChars="200"/>
        <w:jc w:val="left"/>
        <w:rPr>
          <w:rFonts w:ascii="黑体" w:hAnsi="宋体" w:eastAsia="黑体" w:cs="宋体"/>
          <w:b/>
          <w:color w:val="000000" w:themeColor="text1"/>
          <w:kern w:val="0"/>
          <w:sz w:val="32"/>
          <w:szCs w:val="32"/>
        </w:rPr>
      </w:pPr>
      <w:r>
        <w:rPr>
          <w:rFonts w:hint="eastAsia" w:ascii="黑体" w:hAnsi="宋体" w:eastAsia="黑体" w:cs="宋体"/>
          <w:b/>
          <w:color w:val="000000" w:themeColor="text1"/>
          <w:kern w:val="0"/>
          <w:sz w:val="32"/>
          <w:szCs w:val="32"/>
        </w:rPr>
        <w:t>一、指导思想</w:t>
      </w:r>
    </w:p>
    <w:p>
      <w:pPr>
        <w:autoSpaceDE w:val="0"/>
        <w:autoSpaceDN w:val="0"/>
        <w:adjustRightInd w:val="0"/>
        <w:snapToGrid w:val="0"/>
        <w:spacing w:line="60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高举中国特色社会主义伟大旗帜，以习近平新时代中国特色社会主义思想为指导，深入贯彻落实党的十九大和十九届四中全会精神和省委十四届十次全会精神及省委经济工作会议精神，</w:t>
      </w:r>
      <w:r>
        <w:rPr>
          <w:rFonts w:hint="eastAsia" w:ascii="仿宋_GB2312" w:hAnsi="仿宋_GB2312" w:eastAsia="仿宋_GB2312" w:cs="仿宋_GB2312"/>
          <w:bCs/>
          <w:color w:val="000000" w:themeColor="text1"/>
          <w:kern w:val="0"/>
          <w:sz w:val="32"/>
          <w:szCs w:val="32"/>
        </w:rPr>
        <w:t>紧紧围绕“</w:t>
      </w:r>
      <w:r>
        <w:rPr>
          <w:rFonts w:hint="eastAsia" w:ascii="仿宋_GB2312" w:hAnsi="仿宋_GB2312" w:eastAsia="仿宋_GB2312" w:cs="仿宋_GB2312"/>
          <w:color w:val="000000" w:themeColor="text1"/>
          <w:sz w:val="32"/>
          <w:szCs w:val="32"/>
          <w:shd w:val="clear" w:color="auto" w:fill="FFFFFF"/>
        </w:rPr>
        <w:t>创新引领、改革攻坚、开放提升、绿色崛起、担当实干、兴赣富民”</w:t>
      </w:r>
      <w:r>
        <w:rPr>
          <w:rFonts w:hint="eastAsia" w:ascii="仿宋_GB2312" w:hAnsi="仿宋_GB2312" w:eastAsia="仿宋_GB2312" w:cs="仿宋_GB2312"/>
          <w:color w:val="000000" w:themeColor="text1"/>
          <w:sz w:val="32"/>
          <w:szCs w:val="32"/>
        </w:rPr>
        <w:t>的工作方针，聚焦“两个定位”、“五个推进”和“十四五”发展规划</w:t>
      </w:r>
      <w:r>
        <w:rPr>
          <w:rFonts w:hint="eastAsia" w:ascii="仿宋_GB2312" w:hAnsi="仿宋_GB2312" w:eastAsia="仿宋_GB2312" w:cs="仿宋_GB2312"/>
          <w:bCs/>
          <w:color w:val="000000" w:themeColor="text1"/>
          <w:kern w:val="0"/>
          <w:sz w:val="32"/>
          <w:szCs w:val="32"/>
        </w:rPr>
        <w:t>及描绘好新时代江西改革发展新画卷的奋斗目标，</w:t>
      </w:r>
      <w:r>
        <w:rPr>
          <w:rFonts w:hint="eastAsia" w:ascii="仿宋_GB2312" w:hAnsi="仿宋_GB2312" w:eastAsia="仿宋_GB2312" w:cs="仿宋_GB2312"/>
          <w:color w:val="000000" w:themeColor="text1"/>
          <w:sz w:val="32"/>
          <w:szCs w:val="32"/>
        </w:rPr>
        <w:t>坚持以重大现实问题为主攻方向，坚持基础研究和应用研究并重，</w:t>
      </w:r>
      <w:r>
        <w:rPr>
          <w:rFonts w:hint="eastAsia" w:ascii="仿宋_GB2312" w:hAnsi="仿宋_GB2312" w:eastAsia="仿宋_GB2312" w:cs="仿宋_GB2312"/>
          <w:color w:val="000000" w:themeColor="text1"/>
          <w:kern w:val="0"/>
          <w:sz w:val="32"/>
          <w:szCs w:val="32"/>
        </w:rPr>
        <w:t>立足学术前沿，进一步深化理论创新，着力推出有理论深度、有创新价值、有实际用度的研究成果，充分发挥哲学社会科学思想库和智囊团作用，为省委、省政府科学决策提供参考，推动我省哲学社会科学事业不断迈上新台阶。</w:t>
      </w:r>
    </w:p>
    <w:p>
      <w:pPr>
        <w:shd w:val="clear" w:color="auto" w:fill="FFFFFF"/>
        <w:spacing w:line="600" w:lineRule="exact"/>
        <w:ind w:firstLine="570"/>
        <w:jc w:val="left"/>
        <w:rPr>
          <w:rFonts w:ascii="黑体" w:hAnsi="黑体" w:eastAsia="黑体" w:cs="宋体"/>
          <w:b/>
          <w:color w:val="000000" w:themeColor="text1"/>
          <w:kern w:val="0"/>
          <w:sz w:val="32"/>
          <w:szCs w:val="32"/>
        </w:rPr>
      </w:pPr>
      <w:r>
        <w:rPr>
          <w:rFonts w:hint="eastAsia" w:ascii="黑体" w:hAnsi="黑体" w:eastAsia="黑体" w:cs="宋体"/>
          <w:b/>
          <w:color w:val="000000" w:themeColor="text1"/>
          <w:kern w:val="0"/>
          <w:sz w:val="32"/>
          <w:szCs w:val="32"/>
        </w:rPr>
        <w:t>二、申报学科范围及项目类别</w:t>
      </w:r>
    </w:p>
    <w:p>
      <w:pPr>
        <w:shd w:val="clear" w:color="auto" w:fill="FFFFFF"/>
        <w:spacing w:line="600" w:lineRule="exact"/>
        <w:ind w:firstLine="57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1.省社科基金项目申报范围涵盖18个学科，分别为马列·科社、党史·党建、哲学、宗教学、理论经济、应用经济、管理学、法学、历史学、语言学</w:t>
      </w:r>
      <w:r>
        <w:rPr>
          <w:rFonts w:hint="eastAsia" w:ascii="仿宋_GB2312" w:hAnsi="宋体" w:eastAsia="仿宋_GB2312" w:cs="宋体"/>
          <w:color w:val="000000" w:themeColor="text1"/>
          <w:kern w:val="0"/>
          <w:sz w:val="32"/>
          <w:szCs w:val="32"/>
          <w:lang w:val="en-US" w:eastAsia="zh-CN"/>
        </w:rPr>
        <w:t>(汉语研究、外国语言研究)</w:t>
      </w:r>
      <w:r>
        <w:rPr>
          <w:rFonts w:hint="eastAsia" w:ascii="仿宋_GB2312" w:hAnsi="宋体" w:eastAsia="仿宋_GB2312" w:cs="宋体"/>
          <w:color w:val="000000" w:themeColor="text1"/>
          <w:kern w:val="0"/>
          <w:sz w:val="32"/>
          <w:szCs w:val="32"/>
        </w:rPr>
        <w:t>、文学、艺术学、新闻传播学、图书情报学、社会学、政治学、教育学·心理学、体育学，申报者可根据《课题指南》涵盖的方向和范围，自行选择、自行设计具体题目，课题名称的表述应科学、严谨、规范、简明。跨学科的课题要按照“尽量靠近”的原则申报。</w:t>
      </w:r>
    </w:p>
    <w:p>
      <w:pPr>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2.申报项目类别分为重点项目、一般项目和青年项目。资助经费标准为重点项目3万元，一般项目、青年项目1万元。</w:t>
      </w:r>
    </w:p>
    <w:p>
      <w:pPr>
        <w:shd w:val="clear" w:color="auto" w:fill="FFFFFF"/>
        <w:spacing w:line="600" w:lineRule="exact"/>
        <w:ind w:firstLine="643" w:firstLineChars="200"/>
        <w:rPr>
          <w:rFonts w:ascii="黑体" w:hAnsi="黑体" w:eastAsia="黑体" w:cs="宋体"/>
          <w:b/>
          <w:color w:val="000000" w:themeColor="text1"/>
          <w:kern w:val="0"/>
          <w:sz w:val="32"/>
          <w:szCs w:val="32"/>
        </w:rPr>
      </w:pPr>
      <w:r>
        <w:rPr>
          <w:rFonts w:hint="eastAsia" w:ascii="黑体" w:hAnsi="黑体" w:eastAsia="黑体" w:cs="宋体"/>
          <w:b/>
          <w:color w:val="000000" w:themeColor="text1"/>
          <w:kern w:val="0"/>
          <w:sz w:val="32"/>
          <w:szCs w:val="32"/>
        </w:rPr>
        <w:t>三、省社科基金项目申请人条件</w:t>
      </w:r>
    </w:p>
    <w:p>
      <w:pPr>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1.课题组只设一名项目负责人。项目负责人必须是该项目实施全过程的真正组织者和指导者，担负实质性研究工作，挂名或不担负实质性研究工作的人不得作为项目负责人申请研究课题。</w:t>
      </w:r>
    </w:p>
    <w:p>
      <w:pPr>
        <w:shd w:val="clear" w:color="auto" w:fill="FFFFFF"/>
        <w:spacing w:line="600" w:lineRule="exact"/>
        <w:ind w:firstLine="640" w:firstLineChars="200"/>
        <w:rPr>
          <w:rFonts w:ascii="仿宋_GB2312" w:hAnsi="宋体" w:eastAsia="仿宋_GB2312" w:cs="宋体"/>
          <w:b/>
          <w:color w:val="000000" w:themeColor="text1"/>
          <w:kern w:val="0"/>
          <w:sz w:val="32"/>
          <w:szCs w:val="32"/>
        </w:rPr>
      </w:pPr>
      <w:r>
        <w:rPr>
          <w:rFonts w:hint="eastAsia" w:ascii="仿宋_GB2312" w:hAnsi="宋体" w:eastAsia="仿宋_GB2312" w:cs="宋体"/>
          <w:color w:val="000000" w:themeColor="text1"/>
          <w:kern w:val="0"/>
          <w:sz w:val="32"/>
          <w:szCs w:val="32"/>
        </w:rPr>
        <w:t>2.申报重点项目者，应具有副高以上(含副高)专业技术职务，且必须</w:t>
      </w:r>
      <w:r>
        <w:rPr>
          <w:rFonts w:hint="eastAsia" w:ascii="仿宋_GB2312" w:hAnsi="宋体" w:eastAsia="仿宋_GB2312" w:cs="宋体"/>
          <w:b/>
          <w:bCs/>
          <w:color w:val="000000" w:themeColor="text1"/>
          <w:kern w:val="0"/>
          <w:sz w:val="32"/>
          <w:szCs w:val="32"/>
        </w:rPr>
        <w:t>主持完成</w:t>
      </w:r>
      <w:r>
        <w:rPr>
          <w:rFonts w:hint="eastAsia" w:ascii="仿宋_GB2312" w:hAnsi="宋体" w:eastAsia="仿宋_GB2312" w:cs="宋体"/>
          <w:color w:val="000000" w:themeColor="text1"/>
          <w:kern w:val="0"/>
          <w:sz w:val="32"/>
          <w:szCs w:val="32"/>
        </w:rPr>
        <w:t>过省社科基金项目，结项等级为良好以上；申报一般项目者，应具有中级以上（含中级）专业技术职务或具有博士学位，否则须有两名同专业</w:t>
      </w:r>
      <w:r>
        <w:rPr>
          <w:rFonts w:hint="eastAsia" w:ascii="仿宋_GB2312" w:hAnsi="宋体" w:eastAsia="仿宋_GB2312" w:cs="宋体"/>
          <w:b/>
          <w:bCs/>
          <w:color w:val="000000" w:themeColor="text1"/>
          <w:kern w:val="0"/>
          <w:sz w:val="32"/>
          <w:szCs w:val="32"/>
        </w:rPr>
        <w:t>正高</w:t>
      </w:r>
      <w:r>
        <w:rPr>
          <w:rFonts w:hint="eastAsia" w:ascii="仿宋_GB2312" w:hAnsi="宋体" w:eastAsia="仿宋_GB2312" w:cs="宋体"/>
          <w:color w:val="000000" w:themeColor="text1"/>
          <w:kern w:val="0"/>
          <w:sz w:val="32"/>
          <w:szCs w:val="32"/>
        </w:rPr>
        <w:t>以上专业技术职务者推荐；</w:t>
      </w:r>
      <w:r>
        <w:rPr>
          <w:rFonts w:hint="eastAsia" w:ascii="仿宋_GB2312" w:hAnsi="宋体" w:eastAsia="仿宋_GB2312" w:cs="宋体"/>
          <w:b/>
          <w:color w:val="000000" w:themeColor="text1"/>
          <w:kern w:val="0"/>
          <w:sz w:val="32"/>
          <w:szCs w:val="32"/>
        </w:rPr>
        <w:t>申报青年项目者，申请人及成员年龄均不得超过35周岁(1985年1月1日后出生)，申报可不受专业技术职务限制。</w:t>
      </w:r>
    </w:p>
    <w:p>
      <w:pPr>
        <w:spacing w:line="600" w:lineRule="exact"/>
        <w:ind w:firstLine="627" w:firstLineChars="196"/>
        <w:rPr>
          <w:rFonts w:ascii="仿宋_GB2312" w:hAnsi="宋体" w:eastAsia="仿宋_GB2312" w:cs="宋体"/>
          <w:b/>
          <w:color w:val="000000" w:themeColor="text1"/>
          <w:kern w:val="0"/>
          <w:sz w:val="32"/>
          <w:szCs w:val="32"/>
        </w:rPr>
      </w:pPr>
      <w:r>
        <w:rPr>
          <w:rFonts w:hint="eastAsia" w:ascii="仿宋_GB2312" w:hAnsi="宋体" w:eastAsia="仿宋_GB2312" w:cs="宋体"/>
          <w:color w:val="000000" w:themeColor="text1"/>
          <w:kern w:val="0"/>
          <w:sz w:val="32"/>
          <w:szCs w:val="32"/>
        </w:rPr>
        <w:t>3.项目负责人只能申报一个项目，但可作为成员参加不超过两个（含两个）项目。课题组成员应参与实质性工作，无特殊情况一般不允许变更课题组成员。申请课题的参与者或推荐人必须征得本人同意，否则视为违规申报。申报者要如实填写申请书，并保证没有知识产权争议。</w:t>
      </w:r>
      <w:r>
        <w:rPr>
          <w:rFonts w:hint="eastAsia" w:ascii="仿宋_GB2312" w:hAnsi="宋体" w:eastAsia="仿宋_GB2312" w:cs="宋体"/>
          <w:b/>
          <w:color w:val="000000" w:themeColor="text1"/>
          <w:kern w:val="0"/>
          <w:sz w:val="32"/>
          <w:szCs w:val="32"/>
        </w:rPr>
        <w:t>凡在申请中弄虚作假者，一经发现并查实后，取消三年申报资格；如获准立项即作撤项处理并通报批评。</w:t>
      </w:r>
    </w:p>
    <w:p>
      <w:pPr>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4.已承担</w:t>
      </w:r>
      <w:r>
        <w:rPr>
          <w:rFonts w:hint="eastAsia" w:ascii="仿宋_GB2312" w:hAnsi="宋体" w:eastAsia="仿宋_GB2312" w:cs="宋体"/>
          <w:b/>
          <w:color w:val="000000" w:themeColor="text1"/>
          <w:kern w:val="0"/>
          <w:sz w:val="32"/>
          <w:szCs w:val="32"/>
        </w:rPr>
        <w:t>国家社科基金各类项目（包括重大项目、年度项目、后期资助项目、中华学术外译项目及其他专项等）、省社科基金各类项目（包括重大项目、年度项目、青年博士基金项目和各类专项等）尚未结项</w:t>
      </w:r>
      <w:r>
        <w:rPr>
          <w:rFonts w:hint="eastAsia" w:ascii="仿宋_GB2312" w:hAnsi="宋体" w:eastAsia="仿宋_GB2312" w:cs="宋体"/>
          <w:color w:val="000000" w:themeColor="text1"/>
          <w:kern w:val="0"/>
          <w:sz w:val="32"/>
          <w:szCs w:val="32"/>
        </w:rPr>
        <w:t>的负责人不得申报（结项时间以通知发布之日止）。原已发表、出版的成果或已获省部级以上立项资助、奖励的项目和成果，不得再申报省社科基金项目。</w:t>
      </w:r>
    </w:p>
    <w:p>
      <w:pPr>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lang w:val="en-US" w:eastAsia="zh-CN"/>
        </w:rPr>
        <w:t>5</w:t>
      </w:r>
      <w:r>
        <w:rPr>
          <w:rFonts w:hint="eastAsia" w:ascii="仿宋_GB2312" w:hAnsi="宋体" w:eastAsia="仿宋_GB2312" w:cs="宋体"/>
          <w:color w:val="000000" w:themeColor="text1"/>
          <w:kern w:val="0"/>
          <w:sz w:val="32"/>
          <w:szCs w:val="32"/>
        </w:rPr>
        <w:t>.正式受聘于我省高校和科研院所等的港澳台研究人员，具有独立开展研究和组织开展研究的能力，可以申请省社科基金项目，申报重点项目、一般项目和青年项目的条件同上。</w:t>
      </w:r>
    </w:p>
    <w:p>
      <w:pPr>
        <w:shd w:val="clear" w:color="auto" w:fill="FFFFFF"/>
        <w:spacing w:line="600" w:lineRule="exact"/>
        <w:ind w:firstLine="643" w:firstLineChars="200"/>
        <w:jc w:val="left"/>
        <w:rPr>
          <w:rFonts w:ascii="黑体" w:hAnsi="黑体" w:eastAsia="黑体" w:cs="宋体"/>
          <w:b/>
          <w:color w:val="000000" w:themeColor="text1"/>
          <w:kern w:val="0"/>
          <w:sz w:val="32"/>
          <w:szCs w:val="32"/>
        </w:rPr>
      </w:pPr>
      <w:r>
        <w:rPr>
          <w:rFonts w:hint="eastAsia" w:ascii="黑体" w:hAnsi="黑体" w:eastAsia="黑体" w:cs="宋体"/>
          <w:b/>
          <w:color w:val="000000" w:themeColor="text1"/>
          <w:kern w:val="0"/>
          <w:sz w:val="32"/>
          <w:szCs w:val="32"/>
        </w:rPr>
        <w:t>四、评审原则及项目成果形式</w:t>
      </w:r>
    </w:p>
    <w:p>
      <w:pPr>
        <w:shd w:val="clear" w:color="auto" w:fill="FFFFFF"/>
        <w:spacing w:line="600" w:lineRule="exact"/>
        <w:ind w:firstLine="640" w:firstLineChars="20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1.省社科基金项目评审贯彻质量第一、公平、公正的原则。项目评审采用双向匿名活页评审和会议评审相结合的方式。</w:t>
      </w:r>
    </w:p>
    <w:p>
      <w:pPr>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2.省社科基金项目成果形式为专著、译著、系列论文、研究报告、工具书、电脑软件、音像制品等。省社科基金项目的完成时限，基础理论研究一般为2—3年，应用对策研究一般为1—2年。</w:t>
      </w:r>
    </w:p>
    <w:p>
      <w:pPr>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3.项目研究阶段从当年立项文件公布之日起至最终研究成果上报省社科规划办时止，在此之前发表的成果不能作为阶段性成果申报结项。</w:t>
      </w:r>
    </w:p>
    <w:p>
      <w:pPr>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4.凡以省社科基金项目名义发表相关阶段性成果或最终成果，</w:t>
      </w:r>
      <w:r>
        <w:rPr>
          <w:rFonts w:hint="eastAsia" w:ascii="仿宋_GB2312" w:hAnsi="仿宋_GB2312" w:eastAsia="仿宋_GB2312" w:cs="仿宋_GB2312"/>
          <w:color w:val="000000" w:themeColor="text1"/>
          <w:kern w:val="0"/>
          <w:sz w:val="32"/>
          <w:szCs w:val="32"/>
        </w:rPr>
        <w:t>均须在显著位置标注</w:t>
      </w:r>
      <w:r>
        <w:rPr>
          <w:rFonts w:hint="eastAsia" w:ascii="仿宋_GB2312" w:hAnsi="仿宋_GB2312" w:eastAsia="仿宋_GB2312" w:cs="仿宋_GB2312"/>
          <w:color w:val="000000" w:themeColor="text1"/>
          <w:sz w:val="32"/>
          <w:szCs w:val="32"/>
        </w:rPr>
        <w:t>“江西省社会科学基金项目”</w:t>
      </w:r>
      <w:r>
        <w:rPr>
          <w:rFonts w:hint="eastAsia" w:ascii="仿宋_GB2312" w:hAnsi="仿宋_GB2312" w:eastAsia="仿宋_GB2312" w:cs="仿宋_GB2312"/>
          <w:color w:val="000000" w:themeColor="text1"/>
          <w:kern w:val="0"/>
          <w:sz w:val="32"/>
          <w:szCs w:val="32"/>
        </w:rPr>
        <w:t>字样（含项目名称、批准号），若研究成果获多项基金资助，标注须排第一（国家级项目资助除外）。</w:t>
      </w:r>
    </w:p>
    <w:p>
      <w:pPr>
        <w:widowControl/>
        <w:shd w:val="clear" w:color="auto" w:fill="FFFFFF"/>
        <w:spacing w:line="600" w:lineRule="exact"/>
        <w:ind w:firstLine="540"/>
        <w:rPr>
          <w:rFonts w:ascii="黑体" w:hAnsi="宋体" w:eastAsia="黑体" w:cs="宋体"/>
          <w:b/>
          <w:color w:val="000000" w:themeColor="text1"/>
          <w:kern w:val="0"/>
          <w:sz w:val="32"/>
          <w:szCs w:val="32"/>
        </w:rPr>
      </w:pPr>
      <w:r>
        <w:rPr>
          <w:rFonts w:hint="eastAsia" w:ascii="黑体" w:hAnsi="宋体" w:eastAsia="黑体" w:cs="宋体"/>
          <w:b/>
          <w:color w:val="000000" w:themeColor="text1"/>
          <w:kern w:val="0"/>
          <w:sz w:val="32"/>
          <w:szCs w:val="32"/>
        </w:rPr>
        <w:t>五、申报受理及材料要求</w:t>
      </w:r>
    </w:p>
    <w:p>
      <w:pPr>
        <w:spacing w:line="600" w:lineRule="exact"/>
        <w:ind w:firstLine="640" w:firstLineChars="200"/>
        <w:rPr>
          <w:rFonts w:ascii="仿宋_GB2312" w:hAnsi="宋体" w:eastAsia="仿宋_GB2312" w:cs="宋体"/>
          <w:b/>
          <w:bCs/>
          <w:color w:val="000000" w:themeColor="text1"/>
          <w:kern w:val="0"/>
          <w:sz w:val="32"/>
          <w:szCs w:val="32"/>
        </w:rPr>
      </w:pPr>
      <w:r>
        <w:rPr>
          <w:rFonts w:hint="eastAsia" w:ascii="仿宋_GB2312" w:hAnsi="宋体" w:eastAsia="仿宋_GB2312" w:cs="宋体"/>
          <w:color w:val="000000" w:themeColor="text1"/>
          <w:kern w:val="0"/>
          <w:sz w:val="32"/>
          <w:szCs w:val="32"/>
        </w:rPr>
        <w:t>1.</w:t>
      </w:r>
      <w:r>
        <w:rPr>
          <w:rFonts w:hint="eastAsia" w:ascii="仿宋_GB2312" w:hAnsi="宋体" w:eastAsia="仿宋_GB2312" w:cs="宋体"/>
          <w:b/>
          <w:bCs/>
          <w:color w:val="000000" w:themeColor="text1"/>
          <w:kern w:val="0"/>
          <w:sz w:val="32"/>
          <w:szCs w:val="32"/>
        </w:rPr>
        <w:t>本次申报采用网上申报和纸质申报相结合的方式进行。</w:t>
      </w:r>
      <w:r>
        <w:rPr>
          <w:rFonts w:hint="eastAsia" w:ascii="仿宋_GB2312" w:hAnsi="宋体" w:eastAsia="仿宋_GB2312" w:cs="宋体"/>
          <w:color w:val="000000" w:themeColor="text1"/>
          <w:kern w:val="0"/>
          <w:sz w:val="32"/>
          <w:szCs w:val="32"/>
        </w:rPr>
        <w:t>各高等院校、省直科研机构、省直有关单位的科研管理部门负责本地区、本单位、本系统的申报组织和受理。各有关管理单位要严格按照通知要求加强对项目申报工作的组织、指导和审查，认真对《申请书》所有栏目填写的内容，特别是对申请者的申报资格、前期研究成果的真实性、选题和论证的科学性与可行性、课题组的研究实力和必备条件进行严格审核，签署明确</w:t>
      </w:r>
      <w:r>
        <w:rPr>
          <w:rFonts w:hint="eastAsia" w:ascii="仿宋_GB2312" w:hAnsi="宋体" w:eastAsia="仿宋_GB2312" w:cs="宋体"/>
          <w:color w:val="000000" w:themeColor="text1"/>
          <w:kern w:val="0"/>
          <w:sz w:val="32"/>
          <w:szCs w:val="32"/>
          <w:lang w:eastAsia="zh-CN"/>
        </w:rPr>
        <w:t>意见</w:t>
      </w:r>
      <w:r>
        <w:rPr>
          <w:rFonts w:hint="eastAsia" w:ascii="仿宋_GB2312" w:hAnsi="宋体" w:eastAsia="仿宋_GB2312" w:cs="宋体"/>
          <w:color w:val="000000" w:themeColor="text1"/>
          <w:kern w:val="0"/>
          <w:sz w:val="32"/>
          <w:szCs w:val="32"/>
        </w:rPr>
        <w:t>并加盖公章，于截止日期前提交至省社科规划办。</w:t>
      </w:r>
      <w:r>
        <w:rPr>
          <w:rFonts w:hint="eastAsia" w:ascii="仿宋_GB2312" w:hAnsi="宋体" w:eastAsia="仿宋_GB2312" w:cs="宋体"/>
          <w:b/>
          <w:bCs/>
          <w:color w:val="000000" w:themeColor="text1"/>
          <w:kern w:val="0"/>
          <w:sz w:val="32"/>
          <w:szCs w:val="32"/>
        </w:rPr>
        <w:t>同时，各科研管理部门对网上申报项目和纸质材料的同步性要进行审核把关，以保证申报数据的一致性。</w:t>
      </w:r>
    </w:p>
    <w:p>
      <w:pPr>
        <w:widowControl/>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2.所有申请材料必须符合省社科规划办的规范要求。报送我办的材料包括：（1）纸质材料：</w:t>
      </w:r>
      <w:r>
        <w:rPr>
          <w:rFonts w:hint="eastAsia" w:ascii="仿宋_GB2312" w:hAnsi="宋体" w:eastAsia="仿宋_GB2312" w:cs="宋体"/>
          <w:b/>
          <w:bCs/>
          <w:color w:val="000000" w:themeColor="text1"/>
          <w:kern w:val="0"/>
          <w:sz w:val="32"/>
          <w:szCs w:val="32"/>
        </w:rPr>
        <w:t>项目申请书一式5份（请务必在申报系统中下载打印</w:t>
      </w:r>
      <w:r>
        <w:rPr>
          <w:rFonts w:hint="eastAsia" w:ascii="仿宋" w:hAnsi="仿宋" w:eastAsia="仿宋" w:cs="仿宋"/>
          <w:b/>
          <w:bCs/>
          <w:color w:val="000000" w:themeColor="text1"/>
          <w:sz w:val="32"/>
          <w:szCs w:val="32"/>
          <w:shd w:val="clear" w:color="auto" w:fill="FFFFFF"/>
        </w:rPr>
        <w:t>含有“江西社会科学基金项目”水印的申请书，否则不予受理</w:t>
      </w:r>
      <w:r>
        <w:rPr>
          <w:rFonts w:hint="eastAsia" w:ascii="仿宋_GB2312" w:hAnsi="宋体" w:eastAsia="仿宋_GB2312" w:cs="宋体"/>
          <w:b/>
          <w:bCs/>
          <w:color w:val="000000" w:themeColor="text1"/>
          <w:kern w:val="0"/>
          <w:sz w:val="32"/>
          <w:szCs w:val="32"/>
        </w:rPr>
        <w:t>）</w:t>
      </w:r>
      <w:r>
        <w:rPr>
          <w:rFonts w:hint="eastAsia" w:ascii="仿宋_GB2312" w:hAnsi="宋体" w:eastAsia="仿宋_GB2312" w:cs="宋体"/>
          <w:color w:val="000000" w:themeColor="text1"/>
          <w:kern w:val="0"/>
          <w:sz w:val="32"/>
          <w:szCs w:val="32"/>
          <w:lang w:eastAsia="zh-CN"/>
        </w:rPr>
        <w:t>，</w:t>
      </w:r>
      <w:r>
        <w:rPr>
          <w:rFonts w:hint="eastAsia" w:ascii="仿宋_GB2312" w:hAnsi="宋体" w:eastAsia="仿宋_GB2312" w:cs="宋体"/>
          <w:color w:val="000000" w:themeColor="text1"/>
          <w:kern w:val="0"/>
          <w:sz w:val="32"/>
          <w:szCs w:val="32"/>
        </w:rPr>
        <w:t>用计算机填写，</w:t>
      </w:r>
      <w:r>
        <w:rPr>
          <w:rFonts w:hint="eastAsia" w:ascii="仿宋_GB2312" w:hAnsi="宋体" w:eastAsia="仿宋_GB2312" w:cs="宋体"/>
          <w:b/>
          <w:bCs/>
          <w:color w:val="000000" w:themeColor="text1"/>
          <w:kern w:val="0"/>
          <w:sz w:val="32"/>
          <w:szCs w:val="32"/>
        </w:rPr>
        <w:t>A3纸双面印制，中缝装订。</w:t>
      </w:r>
      <w:r>
        <w:rPr>
          <w:rFonts w:hint="eastAsia" w:ascii="仿宋_GB2312" w:hAnsi="宋体" w:eastAsia="仿宋_GB2312" w:cs="宋体"/>
          <w:b/>
          <w:bCs/>
          <w:color w:val="000000" w:themeColor="text1"/>
          <w:kern w:val="0"/>
          <w:sz w:val="32"/>
          <w:szCs w:val="32"/>
          <w:lang w:eastAsia="zh-CN"/>
        </w:rPr>
        <w:t>申报汇总表一份（系统导出，加盖单位公章）</w:t>
      </w:r>
      <w:r>
        <w:rPr>
          <w:rFonts w:hint="eastAsia" w:ascii="仿宋_GB2312" w:hAnsi="宋体" w:eastAsia="仿宋_GB2312" w:cs="宋体"/>
          <w:color w:val="000000" w:themeColor="text1"/>
          <w:kern w:val="0"/>
          <w:sz w:val="32"/>
          <w:szCs w:val="32"/>
        </w:rPr>
        <w:t>（2）电子版文档：包括项目申请书（</w:t>
      </w:r>
      <w:r>
        <w:rPr>
          <w:rFonts w:hint="eastAsia" w:ascii="仿宋_GB2312" w:hAnsi="宋体" w:eastAsia="仿宋_GB2312" w:cs="宋体"/>
          <w:color w:val="000000" w:themeColor="text1"/>
          <w:kern w:val="0"/>
          <w:sz w:val="32"/>
          <w:szCs w:val="32"/>
          <w:lang w:val="en-US" w:eastAsia="zh-CN"/>
        </w:rPr>
        <w:t>WORD</w:t>
      </w:r>
      <w:r>
        <w:rPr>
          <w:rFonts w:hint="eastAsia" w:ascii="仿宋_GB2312" w:hAnsi="宋体" w:eastAsia="仿宋_GB2312" w:cs="宋体"/>
          <w:color w:val="000000" w:themeColor="text1"/>
          <w:kern w:val="0"/>
          <w:sz w:val="32"/>
          <w:szCs w:val="32"/>
        </w:rPr>
        <w:t>版本）、论证活页（</w:t>
      </w:r>
      <w:r>
        <w:rPr>
          <w:rFonts w:hint="eastAsia" w:ascii="仿宋_GB2312" w:hAnsi="宋体" w:eastAsia="仿宋_GB2312" w:cs="宋体"/>
          <w:color w:val="000000" w:themeColor="text1"/>
          <w:kern w:val="0"/>
          <w:sz w:val="32"/>
          <w:szCs w:val="32"/>
          <w:lang w:val="en-US" w:eastAsia="zh-CN"/>
        </w:rPr>
        <w:t>WORD</w:t>
      </w:r>
      <w:r>
        <w:rPr>
          <w:rFonts w:hint="eastAsia" w:ascii="仿宋_GB2312" w:hAnsi="宋体" w:eastAsia="仿宋_GB2312" w:cs="宋体"/>
          <w:color w:val="000000" w:themeColor="text1"/>
          <w:kern w:val="0"/>
          <w:sz w:val="32"/>
          <w:szCs w:val="32"/>
        </w:rPr>
        <w:t>版本），电子文档以人名为单位建立文件夹，所有材料打包在一个文件夹。</w:t>
      </w:r>
    </w:p>
    <w:p>
      <w:pPr>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3.</w:t>
      </w:r>
      <w:r>
        <w:rPr>
          <w:rFonts w:hint="eastAsia" w:ascii="仿宋_GB2312" w:eastAsia="仿宋_GB2312"/>
          <w:color w:val="000000" w:themeColor="text1"/>
          <w:sz w:val="32"/>
          <w:szCs w:val="32"/>
        </w:rPr>
        <w:t>2020年省社科基金项目实行限额申报，限额指标另行下达各单位。各申报单位要努力提高申报质量、适当控制申报规模、减少同类选题重复申报。</w:t>
      </w:r>
    </w:p>
    <w:p>
      <w:pPr>
        <w:widowControl/>
        <w:shd w:val="clear" w:color="auto" w:fill="FFFFFF"/>
        <w:spacing w:line="600" w:lineRule="exact"/>
        <w:ind w:firstLine="643" w:firstLineChars="200"/>
        <w:jc w:val="left"/>
        <w:rPr>
          <w:rFonts w:ascii="黑体" w:hAnsi="宋体" w:eastAsia="黑体" w:cs="宋体"/>
          <w:b/>
          <w:color w:val="000000" w:themeColor="text1"/>
          <w:kern w:val="0"/>
          <w:sz w:val="32"/>
          <w:szCs w:val="32"/>
        </w:rPr>
      </w:pPr>
      <w:r>
        <w:rPr>
          <w:rFonts w:hint="eastAsia" w:ascii="黑体" w:hAnsi="宋体" w:eastAsia="黑体" w:cs="宋体"/>
          <w:b/>
          <w:color w:val="000000" w:themeColor="text1"/>
          <w:kern w:val="0"/>
          <w:sz w:val="32"/>
          <w:szCs w:val="32"/>
        </w:rPr>
        <w:t>六、申报时间及其他事项</w:t>
      </w:r>
    </w:p>
    <w:p>
      <w:pPr>
        <w:shd w:val="clear" w:color="auto" w:fill="FFFFFF"/>
        <w:spacing w:line="600" w:lineRule="exact"/>
        <w:ind w:firstLine="640" w:firstLineChars="200"/>
        <w:rPr>
          <w:rFonts w:ascii="黑体" w:hAnsi="宋体" w:eastAsia="黑体" w:cs="宋体"/>
          <w:b/>
          <w:color w:val="000000" w:themeColor="text1"/>
          <w:kern w:val="0"/>
          <w:sz w:val="32"/>
          <w:szCs w:val="32"/>
        </w:rPr>
      </w:pPr>
      <w:r>
        <w:rPr>
          <w:rFonts w:hint="eastAsia" w:ascii="黑体" w:hAnsi="宋体" w:eastAsia="黑体" w:cs="宋体"/>
          <w:bCs/>
          <w:color w:val="000000" w:themeColor="text1"/>
          <w:kern w:val="0"/>
          <w:sz w:val="32"/>
          <w:szCs w:val="32"/>
        </w:rPr>
        <w:t>1.</w:t>
      </w:r>
      <w:r>
        <w:rPr>
          <w:rFonts w:hint="eastAsia" w:ascii="仿宋_GB2312" w:hAnsi="宋体" w:eastAsia="仿宋_GB2312" w:cs="宋体"/>
          <w:color w:val="000000" w:themeColor="text1"/>
          <w:kern w:val="0"/>
          <w:sz w:val="32"/>
          <w:szCs w:val="32"/>
        </w:rPr>
        <w:t>请申报者和项目管理单位认真阅读申报人用户手册和机构管理员审核流程（另行下发）后，再进行相关网上申报操作。</w:t>
      </w:r>
    </w:p>
    <w:p>
      <w:pPr>
        <w:shd w:val="clear" w:color="auto" w:fill="FFFFFF"/>
        <w:spacing w:line="600" w:lineRule="exact"/>
        <w:ind w:firstLine="640" w:firstLineChars="200"/>
        <w:rPr>
          <w:rFonts w:ascii="仿宋_GB2312" w:hAnsi="仿宋_GB2312" w:eastAsia="仿宋_GB2312" w:cs="仿宋_GB2312"/>
          <w:color w:val="000000" w:themeColor="text1"/>
          <w:kern w:val="0"/>
          <w:sz w:val="32"/>
          <w:szCs w:val="32"/>
        </w:rPr>
      </w:pPr>
      <w:r>
        <w:rPr>
          <w:rFonts w:hint="eastAsia" w:ascii="仿宋_GB2312" w:hAnsi="宋体" w:eastAsia="仿宋_GB2312" w:cs="宋体"/>
          <w:color w:val="000000" w:themeColor="text1"/>
          <w:kern w:val="0"/>
          <w:sz w:val="32"/>
          <w:szCs w:val="32"/>
        </w:rPr>
        <w:t>2.个人网上申报时间为</w:t>
      </w:r>
      <w:r>
        <w:rPr>
          <w:rFonts w:hint="eastAsia" w:ascii="仿宋_GB2312" w:hAnsi="宋体" w:eastAsia="仿宋_GB2312" w:cs="宋体"/>
          <w:b/>
          <w:bCs/>
          <w:color w:val="000000" w:themeColor="text1"/>
          <w:spacing w:val="-20"/>
          <w:kern w:val="0"/>
          <w:sz w:val="32"/>
          <w:szCs w:val="32"/>
        </w:rPr>
        <w:t>2020年5月11日</w:t>
      </w:r>
      <w:r>
        <w:rPr>
          <w:rFonts w:hint="eastAsia" w:ascii="仿宋_GB2312" w:hAnsi="宋体" w:eastAsia="仿宋_GB2312" w:cs="宋体"/>
          <w:color w:val="000000" w:themeColor="text1"/>
          <w:kern w:val="0"/>
          <w:sz w:val="32"/>
          <w:szCs w:val="32"/>
        </w:rPr>
        <w:t>—</w:t>
      </w:r>
      <w:r>
        <w:rPr>
          <w:rFonts w:hint="eastAsia" w:ascii="仿宋_GB2312" w:hAnsi="宋体" w:eastAsia="仿宋_GB2312" w:cs="宋体"/>
          <w:b/>
          <w:bCs/>
          <w:color w:val="000000" w:themeColor="text1"/>
          <w:spacing w:val="-20"/>
          <w:kern w:val="0"/>
          <w:sz w:val="32"/>
          <w:szCs w:val="32"/>
        </w:rPr>
        <w:t>5月21日全天</w:t>
      </w:r>
      <w:r>
        <w:rPr>
          <w:rFonts w:hint="eastAsia" w:ascii="仿宋_GB2312" w:hAnsi="宋体" w:eastAsia="仿宋_GB2312" w:cs="宋体"/>
          <w:b/>
          <w:bCs/>
          <w:color w:val="000000" w:themeColor="text1"/>
          <w:kern w:val="0"/>
          <w:sz w:val="32"/>
          <w:szCs w:val="32"/>
        </w:rPr>
        <w:t>，</w:t>
      </w:r>
      <w:r>
        <w:rPr>
          <w:rFonts w:hint="eastAsia" w:ascii="仿宋_GB2312" w:hAnsi="宋体" w:eastAsia="仿宋_GB2312" w:cs="宋体"/>
          <w:color w:val="000000" w:themeColor="text1"/>
          <w:kern w:val="0"/>
          <w:sz w:val="32"/>
          <w:szCs w:val="32"/>
        </w:rPr>
        <w:t>请登录江西省社会科学界联合会网首页（</w:t>
      </w:r>
      <w:r>
        <w:rPr>
          <w:u w:val="none"/>
        </w:rPr>
        <w:fldChar w:fldCharType="begin"/>
      </w:r>
      <w:r>
        <w:rPr>
          <w:u w:val="none"/>
        </w:rPr>
        <w:instrText xml:space="preserve"> HYPERLINK "http://www.jxss.net.cn" </w:instrText>
      </w:r>
      <w:r>
        <w:rPr>
          <w:u w:val="none"/>
        </w:rPr>
        <w:fldChar w:fldCharType="separate"/>
      </w:r>
      <w:r>
        <w:rPr>
          <w:rStyle w:val="11"/>
          <w:rFonts w:hint="eastAsia" w:ascii="仿宋_GB2312" w:hAnsi="宋体" w:eastAsia="仿宋_GB2312" w:cs="宋体"/>
          <w:color w:val="000000" w:themeColor="text1"/>
          <w:kern w:val="0"/>
          <w:sz w:val="32"/>
          <w:szCs w:val="32"/>
          <w:u w:val="none"/>
        </w:rPr>
        <w:t>http://www.jxskw.gov.cn</w:t>
      </w:r>
      <w:r>
        <w:rPr>
          <w:rStyle w:val="11"/>
          <w:rFonts w:hint="eastAsia" w:ascii="仿宋_GB2312" w:hAnsi="宋体" w:eastAsia="仿宋_GB2312" w:cs="宋体"/>
          <w:color w:val="000000" w:themeColor="text1"/>
          <w:kern w:val="0"/>
          <w:sz w:val="32"/>
          <w:szCs w:val="32"/>
          <w:u w:val="none"/>
        </w:rPr>
        <w:fldChar w:fldCharType="end"/>
      </w:r>
      <w:r>
        <w:rPr>
          <w:rFonts w:hint="eastAsia" w:ascii="仿宋_GB2312" w:hAnsi="宋体" w:eastAsia="仿宋_GB2312" w:cs="宋体"/>
          <w:color w:val="000000" w:themeColor="text1"/>
          <w:kern w:val="0"/>
          <w:sz w:val="32"/>
          <w:szCs w:val="32"/>
        </w:rPr>
        <w:t>）“江西省社会科学基金项目评审管理系统”，点击进入“社会科学基金项目申报评审系统”，按要求录入申报信息、项目申请书</w:t>
      </w:r>
      <w:r>
        <w:rPr>
          <w:rFonts w:hint="eastAsia" w:ascii="仿宋_GB2312" w:hAnsi="宋体" w:eastAsia="仿宋_GB2312" w:cs="宋体"/>
          <w:b/>
          <w:bCs/>
          <w:color w:val="000000" w:themeColor="text1"/>
          <w:kern w:val="0"/>
          <w:sz w:val="32"/>
          <w:szCs w:val="32"/>
        </w:rPr>
        <w:t>（</w:t>
      </w:r>
      <w:r>
        <w:rPr>
          <w:rFonts w:hint="eastAsia" w:ascii="仿宋" w:hAnsi="仿宋" w:eastAsia="仿宋" w:cs="仿宋"/>
          <w:b/>
          <w:bCs/>
          <w:color w:val="000000" w:themeColor="text1"/>
          <w:sz w:val="32"/>
          <w:szCs w:val="32"/>
          <w:shd w:val="clear" w:color="auto" w:fill="FFFFFF"/>
        </w:rPr>
        <w:t>申请书只需上传第4页及以后的内容，前3页内容由系统自动生成</w:t>
      </w:r>
      <w:r>
        <w:rPr>
          <w:rFonts w:hint="eastAsia" w:ascii="仿宋_GB2312" w:hAnsi="宋体" w:eastAsia="仿宋_GB2312" w:cs="宋体"/>
          <w:b/>
          <w:bCs/>
          <w:color w:val="000000" w:themeColor="text1"/>
          <w:kern w:val="0"/>
          <w:sz w:val="32"/>
          <w:szCs w:val="32"/>
        </w:rPr>
        <w:t>）</w:t>
      </w:r>
      <w:r>
        <w:rPr>
          <w:rFonts w:hint="eastAsia" w:ascii="仿宋_GB2312" w:hAnsi="宋体" w:eastAsia="仿宋_GB2312" w:cs="宋体"/>
          <w:color w:val="000000" w:themeColor="text1"/>
          <w:kern w:val="0"/>
          <w:sz w:val="32"/>
          <w:szCs w:val="32"/>
        </w:rPr>
        <w:t>、论证活页进行申报</w:t>
      </w:r>
      <w:r>
        <w:rPr>
          <w:rFonts w:hint="eastAsia" w:ascii="仿宋_GB2312" w:hAnsi="宋体" w:eastAsia="仿宋_GB2312" w:cs="宋体"/>
          <w:b/>
          <w:bCs/>
          <w:color w:val="000000" w:themeColor="text1"/>
          <w:kern w:val="0"/>
          <w:sz w:val="32"/>
          <w:szCs w:val="32"/>
        </w:rPr>
        <w:t>（申请书及活页均须为PDF版本，不支持CAJ、DOC等格式）</w:t>
      </w:r>
      <w:r>
        <w:rPr>
          <w:rFonts w:hint="eastAsia" w:ascii="仿宋_GB2312" w:hAnsi="仿宋_GB2312" w:eastAsia="仿宋_GB2312" w:cs="仿宋_GB2312"/>
          <w:color w:val="000000" w:themeColor="text1"/>
          <w:kern w:val="0"/>
          <w:sz w:val="32"/>
          <w:szCs w:val="32"/>
        </w:rPr>
        <w:t>，逾期系统自动关闭。</w:t>
      </w:r>
    </w:p>
    <w:p>
      <w:pPr>
        <w:pStyle w:val="8"/>
        <w:shd w:val="clear" w:color="auto" w:fill="FFFFFF"/>
        <w:spacing w:before="0" w:beforeAutospacing="0" w:after="0" w:afterAutospacing="0" w:line="600" w:lineRule="exact"/>
        <w:ind w:firstLine="640" w:firstLineChars="200"/>
        <w:jc w:val="both"/>
        <w:rPr>
          <w:rFonts w:ascii="仿宋_GB2312" w:hAnsi="仿宋_GB2312" w:eastAsia="仿宋_GB2312" w:cs="仿宋_GB2312"/>
          <w:b/>
          <w:bCs/>
          <w:color w:val="000000" w:themeColor="text1"/>
          <w:sz w:val="32"/>
          <w:szCs w:val="32"/>
        </w:rPr>
      </w:pPr>
      <w:r>
        <w:rPr>
          <w:rFonts w:hint="eastAsia" w:ascii="仿宋_GB2312" w:hAnsi="仿宋_GB2312" w:eastAsia="仿宋_GB2312" w:cs="仿宋_GB2312"/>
          <w:color w:val="000000" w:themeColor="text1"/>
          <w:sz w:val="32"/>
          <w:szCs w:val="32"/>
        </w:rPr>
        <w:t>3.各管理单位网上审核时间：</w:t>
      </w:r>
      <w:r>
        <w:rPr>
          <w:rFonts w:hint="eastAsia" w:ascii="仿宋_GB2312" w:hAnsi="仿宋_GB2312" w:eastAsia="仿宋_GB2312" w:cs="仿宋_GB2312"/>
          <w:b/>
          <w:bCs/>
          <w:color w:val="000000" w:themeColor="text1"/>
          <w:sz w:val="32"/>
          <w:szCs w:val="32"/>
        </w:rPr>
        <w:t>2020年5月22</w:t>
      </w:r>
      <w:r>
        <w:rPr>
          <w:rFonts w:hint="eastAsia" w:ascii="仿宋_GB2312" w:hAnsi="宋体" w:eastAsia="仿宋_GB2312" w:cs="宋体"/>
          <w:color w:val="000000" w:themeColor="text1"/>
          <w:kern w:val="0"/>
          <w:sz w:val="32"/>
          <w:szCs w:val="32"/>
        </w:rPr>
        <w:t>—</w:t>
      </w:r>
      <w:r>
        <w:rPr>
          <w:rFonts w:hint="eastAsia" w:ascii="仿宋_GB2312" w:hAnsi="仿宋_GB2312" w:eastAsia="仿宋_GB2312" w:cs="仿宋_GB2312"/>
          <w:b/>
          <w:bCs/>
          <w:color w:val="000000" w:themeColor="text1"/>
          <w:sz w:val="32"/>
          <w:szCs w:val="32"/>
        </w:rPr>
        <w:t>6月1日17:00</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shd w:val="clear" w:color="auto" w:fill="FFFFFF"/>
        </w:rPr>
        <w:t>请按照限额指标择优通过。</w:t>
      </w:r>
    </w:p>
    <w:p>
      <w:pPr>
        <w:shd w:val="clear" w:color="auto" w:fill="FFFFFF"/>
        <w:spacing w:line="600" w:lineRule="exact"/>
        <w:ind w:firstLine="640" w:firstLineChars="200"/>
        <w:rPr>
          <w:rFonts w:ascii="仿宋_GB2312" w:hAnsi="宋体" w:eastAsia="仿宋_GB2312" w:cs="宋体"/>
          <w:b/>
          <w:bCs/>
          <w:color w:val="000000" w:themeColor="text1"/>
          <w:kern w:val="0"/>
          <w:sz w:val="32"/>
          <w:szCs w:val="32"/>
        </w:rPr>
      </w:pPr>
      <w:r>
        <w:rPr>
          <w:rFonts w:hint="eastAsia" w:ascii="仿宋_GB2312" w:hAnsi="宋体" w:eastAsia="仿宋_GB2312" w:cs="宋体"/>
          <w:color w:val="000000" w:themeColor="text1"/>
          <w:kern w:val="0"/>
          <w:sz w:val="32"/>
          <w:szCs w:val="32"/>
        </w:rPr>
        <w:t>4.纸质申报材料及电子版文档集中受理时间为</w:t>
      </w:r>
      <w:r>
        <w:rPr>
          <w:rFonts w:hint="eastAsia" w:ascii="仿宋_GB2312" w:hAnsi="宋体" w:eastAsia="仿宋_GB2312" w:cs="宋体"/>
          <w:b/>
          <w:bCs/>
          <w:color w:val="000000" w:themeColor="text1"/>
          <w:kern w:val="0"/>
          <w:sz w:val="32"/>
          <w:szCs w:val="32"/>
        </w:rPr>
        <w:t>2020年6月2日</w:t>
      </w:r>
      <w:r>
        <w:rPr>
          <w:rFonts w:hint="eastAsia" w:ascii="仿宋_GB2312" w:hAnsi="宋体" w:eastAsia="仿宋_GB2312" w:cs="宋体"/>
          <w:color w:val="000000" w:themeColor="text1"/>
          <w:kern w:val="0"/>
          <w:sz w:val="32"/>
          <w:szCs w:val="32"/>
        </w:rPr>
        <w:t>—</w:t>
      </w:r>
      <w:r>
        <w:rPr>
          <w:rFonts w:hint="eastAsia" w:ascii="仿宋_GB2312" w:hAnsi="宋体" w:eastAsia="仿宋_GB2312" w:cs="宋体"/>
          <w:b/>
          <w:bCs/>
          <w:color w:val="000000" w:themeColor="text1"/>
          <w:kern w:val="0"/>
          <w:sz w:val="32"/>
          <w:szCs w:val="32"/>
        </w:rPr>
        <w:t>6月5日17:00</w:t>
      </w:r>
      <w:r>
        <w:rPr>
          <w:rFonts w:hint="eastAsia" w:ascii="仿宋_GB2312" w:hAnsi="宋体" w:eastAsia="仿宋_GB2312" w:cs="宋体"/>
          <w:color w:val="000000" w:themeColor="text1"/>
          <w:kern w:val="0"/>
          <w:sz w:val="32"/>
          <w:szCs w:val="32"/>
        </w:rPr>
        <w:t>止，逾期我办不予受理。</w:t>
      </w:r>
    </w:p>
    <w:p>
      <w:pPr>
        <w:shd w:val="clear" w:color="auto" w:fill="FFFFFF"/>
        <w:spacing w:line="60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5.项目申报所需的各种材料（申请书、论证活页、课题指南、代码表等）请登录江西省社会科学界联合会网站直接查询并下载。</w:t>
      </w:r>
    </w:p>
    <w:p>
      <w:pPr>
        <w:shd w:val="clear" w:color="auto" w:fill="FFFFFF"/>
        <w:spacing w:line="600" w:lineRule="exact"/>
        <w:ind w:firstLine="640" w:firstLineChars="200"/>
        <w:rPr>
          <w:rFonts w:ascii="仿宋_GB2312" w:hAnsi="宋体" w:cs="宋体"/>
          <w:color w:val="000000" w:themeColor="text1"/>
          <w:kern w:val="0"/>
          <w:sz w:val="32"/>
          <w:szCs w:val="32"/>
        </w:rPr>
      </w:pPr>
      <w:r>
        <w:rPr>
          <w:rFonts w:hint="eastAsia" w:ascii="仿宋_GB2312" w:hAnsi="宋体" w:eastAsia="仿宋_GB2312" w:cs="宋体"/>
          <w:color w:val="000000" w:themeColor="text1"/>
          <w:kern w:val="0"/>
          <w:sz w:val="32"/>
          <w:szCs w:val="32"/>
        </w:rPr>
        <w:t>6.如遇特殊情况</w:t>
      </w:r>
      <w:r>
        <w:rPr>
          <w:rFonts w:hint="eastAsia" w:ascii="仿宋_GB2312" w:hAnsi="仿宋_GB2312" w:eastAsia="仿宋_GB2312" w:cs="仿宋_GB2312"/>
          <w:color w:val="000000" w:themeColor="text1"/>
          <w:kern w:val="0"/>
          <w:sz w:val="32"/>
          <w:szCs w:val="32"/>
        </w:rPr>
        <w:t>，</w:t>
      </w:r>
      <w:r>
        <w:rPr>
          <w:rFonts w:hint="eastAsia" w:ascii="仿宋_GB2312" w:hAnsi="仿宋_GB2312" w:eastAsia="仿宋_GB2312" w:cs="仿宋_GB2312"/>
          <w:color w:val="000000" w:themeColor="text1"/>
          <w:sz w:val="32"/>
          <w:szCs w:val="32"/>
          <w:shd w:val="clear" w:color="auto" w:fill="FFFFFF"/>
        </w:rPr>
        <w:t>另行通知。</w:t>
      </w:r>
    </w:p>
    <w:p>
      <w:pPr>
        <w:shd w:val="clear" w:color="auto" w:fill="FFFFFF"/>
        <w:spacing w:line="600" w:lineRule="exact"/>
        <w:ind w:firstLine="640" w:firstLineChars="20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联系电话：0791-88596274,88625321</w:t>
      </w:r>
    </w:p>
    <w:p>
      <w:pPr>
        <w:numPr>
          <w:ilvl w:val="0"/>
          <w:numId w:val="1"/>
        </w:numPr>
        <w:shd w:val="clear" w:color="auto" w:fill="FFFFFF"/>
        <w:spacing w:line="600" w:lineRule="exact"/>
        <w:ind w:firstLine="640" w:firstLineChars="20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MAIL：</w:t>
      </w:r>
      <w:r>
        <w:fldChar w:fldCharType="begin"/>
      </w:r>
      <w:r>
        <w:instrText xml:space="preserve"> HYPERLINK "mailto:jxskghb@163.com" </w:instrText>
      </w:r>
      <w:r>
        <w:fldChar w:fldCharType="separate"/>
      </w:r>
      <w:r>
        <w:rPr>
          <w:rFonts w:hint="eastAsia" w:ascii="仿宋_GB2312" w:hAnsi="宋体" w:eastAsia="仿宋_GB2312" w:cs="宋体"/>
          <w:color w:val="000000" w:themeColor="text1"/>
          <w:kern w:val="0"/>
          <w:sz w:val="32"/>
          <w:szCs w:val="32"/>
        </w:rPr>
        <w:t>jxskghb@163.com</w:t>
      </w:r>
      <w:r>
        <w:rPr>
          <w:rFonts w:hint="eastAsia" w:ascii="仿宋_GB2312" w:hAnsi="宋体" w:eastAsia="仿宋_GB2312" w:cs="宋体"/>
          <w:color w:val="000000" w:themeColor="text1"/>
          <w:kern w:val="0"/>
          <w:sz w:val="32"/>
          <w:szCs w:val="32"/>
        </w:rPr>
        <w:fldChar w:fldCharType="end"/>
      </w:r>
    </w:p>
    <w:p>
      <w:pPr>
        <w:shd w:val="clear" w:color="auto" w:fill="FFFFFF"/>
        <w:spacing w:line="600" w:lineRule="exact"/>
        <w:ind w:left="638" w:leftChars="304"/>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地址：南昌市洪都北大道649号 省社联办公大楼206室</w:t>
      </w:r>
    </w:p>
    <w:p>
      <w:pPr>
        <w:shd w:val="clear" w:color="auto" w:fill="FFFFFF"/>
        <w:spacing w:line="600" w:lineRule="exact"/>
        <w:ind w:left="638" w:leftChars="304"/>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邮编：330047</w:t>
      </w:r>
    </w:p>
    <w:p>
      <w:pPr>
        <w:shd w:val="clear" w:color="auto" w:fill="FFFFFF"/>
        <w:spacing w:line="600" w:lineRule="exact"/>
        <w:ind w:right="-154" w:firstLine="640" w:firstLineChars="200"/>
        <w:rPr>
          <w:rFonts w:ascii="仿宋_GB2312" w:hAnsi="宋体" w:eastAsia="仿宋_GB2312" w:cs="宋体"/>
          <w:color w:val="000000" w:themeColor="text1"/>
          <w:kern w:val="0"/>
          <w:sz w:val="32"/>
          <w:szCs w:val="32"/>
        </w:rPr>
      </w:pPr>
    </w:p>
    <w:p>
      <w:pPr>
        <w:widowControl/>
        <w:spacing w:line="600" w:lineRule="exact"/>
        <w:ind w:left="1598" w:leftChars="304" w:hanging="960" w:hangingChars="30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附件：1.江西省社会科学研究“十三五”（2020年）基金项目课题指南</w:t>
      </w:r>
    </w:p>
    <w:p>
      <w:pPr>
        <w:widowControl/>
        <w:spacing w:line="600" w:lineRule="exact"/>
        <w:ind w:left="1598" w:leftChars="304" w:hanging="960" w:hangingChars="30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 xml:space="preserve">      2.关于2020年省社科基金项目实行限额申报的说明</w:t>
      </w:r>
    </w:p>
    <w:p>
      <w:pPr>
        <w:widowControl/>
        <w:spacing w:line="600" w:lineRule="exact"/>
        <w:rPr>
          <w:rFonts w:ascii="仿宋_GB2312" w:hAnsi="宋体" w:eastAsia="仿宋_GB2312" w:cs="宋体"/>
          <w:color w:val="000000" w:themeColor="text1"/>
          <w:kern w:val="0"/>
          <w:sz w:val="32"/>
          <w:szCs w:val="32"/>
        </w:rPr>
      </w:pPr>
    </w:p>
    <w:p>
      <w:pPr>
        <w:widowControl/>
        <w:spacing w:line="540" w:lineRule="exact"/>
        <w:jc w:val="center"/>
        <w:rPr>
          <w:rFonts w:ascii="仿宋_GB2312" w:hAnsi="宋体" w:eastAsia="仿宋_GB2312" w:cs="宋体"/>
          <w:color w:val="000000" w:themeColor="text1"/>
          <w:kern w:val="0"/>
          <w:sz w:val="32"/>
          <w:szCs w:val="32"/>
        </w:rPr>
      </w:pPr>
    </w:p>
    <w:p>
      <w:pPr>
        <w:widowControl/>
        <w:spacing w:line="540" w:lineRule="exact"/>
        <w:jc w:val="center"/>
        <w:rPr>
          <w:rFonts w:ascii="仿宋_GB2312" w:hAnsi="宋体" w:eastAsia="仿宋_GB2312" w:cs="宋体"/>
          <w:color w:val="000000" w:themeColor="text1"/>
          <w:kern w:val="0"/>
          <w:sz w:val="32"/>
          <w:szCs w:val="32"/>
        </w:rPr>
      </w:pPr>
    </w:p>
    <w:p>
      <w:pPr>
        <w:widowControl/>
        <w:spacing w:line="540" w:lineRule="exact"/>
        <w:jc w:val="center"/>
        <w:rPr>
          <w:rFonts w:ascii="仿宋_GB2312" w:hAnsi="宋体" w:eastAsia="仿宋_GB2312" w:cs="宋体"/>
          <w:color w:val="000000" w:themeColor="text1"/>
          <w:kern w:val="0"/>
          <w:sz w:val="32"/>
          <w:szCs w:val="32"/>
        </w:rPr>
      </w:pPr>
    </w:p>
    <w:p>
      <w:pPr>
        <w:widowControl/>
        <w:spacing w:line="540" w:lineRule="exact"/>
        <w:jc w:val="center"/>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 xml:space="preserve">                   江西省社会科学规划办公室</w:t>
      </w:r>
    </w:p>
    <w:p>
      <w:pPr>
        <w:widowControl/>
        <w:spacing w:line="540" w:lineRule="exact"/>
        <w:jc w:val="center"/>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 xml:space="preserve">                     2020年3月31日</w:t>
      </w:r>
      <w:bookmarkStart w:id="0" w:name="_GoBack"/>
      <w:bookmarkEnd w:id="0"/>
    </w:p>
    <w:p>
      <w:pPr>
        <w:widowControl/>
        <w:spacing w:line="540" w:lineRule="exact"/>
        <w:jc w:val="left"/>
        <w:rPr>
          <w:rFonts w:ascii="黑体" w:hAnsi="黑体" w:eastAsia="黑体" w:cs="黑体"/>
          <w:color w:val="000000" w:themeColor="text1"/>
          <w:kern w:val="0"/>
          <w:sz w:val="32"/>
          <w:szCs w:val="32"/>
        </w:rPr>
      </w:pPr>
    </w:p>
    <w:p>
      <w:pPr>
        <w:widowControl/>
        <w:jc w:val="left"/>
        <w:rPr>
          <w:rFonts w:ascii="黑体" w:hAnsi="黑体" w:eastAsia="黑体" w:cs="黑体"/>
          <w:color w:val="000000" w:themeColor="text1"/>
          <w:kern w:val="0"/>
          <w:sz w:val="32"/>
          <w:szCs w:val="32"/>
        </w:rPr>
      </w:pPr>
      <w:r>
        <w:rPr>
          <w:rFonts w:ascii="黑体" w:hAnsi="黑体" w:eastAsia="黑体" w:cs="黑体"/>
          <w:color w:val="000000" w:themeColor="text1"/>
          <w:kern w:val="0"/>
          <w:sz w:val="32"/>
          <w:szCs w:val="32"/>
        </w:rPr>
        <w:br w:type="page"/>
      </w:r>
    </w:p>
    <w:p>
      <w:pPr>
        <w:widowControl/>
        <w:spacing w:line="540" w:lineRule="exact"/>
        <w:jc w:val="left"/>
        <w:rPr>
          <w:rFonts w:ascii="黑体" w:hAnsi="黑体" w:eastAsia="黑体" w:cs="黑体"/>
          <w:color w:val="000000" w:themeColor="text1"/>
          <w:kern w:val="0"/>
          <w:sz w:val="32"/>
          <w:szCs w:val="32"/>
        </w:rPr>
      </w:pPr>
      <w:r>
        <w:rPr>
          <w:rFonts w:hint="eastAsia" w:ascii="黑体" w:hAnsi="黑体" w:eastAsia="黑体" w:cs="黑体"/>
          <w:color w:val="000000" w:themeColor="text1"/>
          <w:kern w:val="0"/>
          <w:sz w:val="32"/>
          <w:szCs w:val="32"/>
        </w:rPr>
        <w:t>附件1</w:t>
      </w:r>
    </w:p>
    <w:p>
      <w:pPr>
        <w:widowControl/>
        <w:spacing w:line="700" w:lineRule="exact"/>
        <w:jc w:val="center"/>
        <w:rPr>
          <w:rFonts w:ascii="方正小标宋简体" w:hAnsi="方正小标宋简体" w:eastAsia="方正小标宋简体" w:cs="方正小标宋简体"/>
          <w:color w:val="000000" w:themeColor="text1"/>
          <w:kern w:val="0"/>
          <w:sz w:val="44"/>
          <w:szCs w:val="44"/>
        </w:rPr>
      </w:pPr>
      <w:r>
        <w:rPr>
          <w:rFonts w:hint="eastAsia" w:ascii="方正小标宋简体" w:hAnsi="方正小标宋简体" w:eastAsia="方正小标宋简体" w:cs="方正小标宋简体"/>
          <w:color w:val="000000" w:themeColor="text1"/>
          <w:kern w:val="0"/>
          <w:sz w:val="44"/>
          <w:szCs w:val="44"/>
        </w:rPr>
        <w:t>江西省社会科学研究“十三五”（2020年）</w:t>
      </w:r>
    </w:p>
    <w:p>
      <w:pPr>
        <w:widowControl/>
        <w:spacing w:line="700" w:lineRule="exact"/>
        <w:jc w:val="center"/>
        <w:rPr>
          <w:rFonts w:ascii="方正小标宋简体" w:hAnsi="方正小标宋简体" w:eastAsia="方正小标宋简体" w:cs="方正小标宋简体"/>
          <w:color w:val="000000" w:themeColor="text1"/>
          <w:kern w:val="0"/>
          <w:sz w:val="44"/>
          <w:szCs w:val="44"/>
        </w:rPr>
      </w:pPr>
      <w:r>
        <w:rPr>
          <w:rFonts w:hint="eastAsia" w:ascii="方正小标宋简体" w:hAnsi="方正小标宋简体" w:eastAsia="方正小标宋简体" w:cs="方正小标宋简体"/>
          <w:color w:val="000000" w:themeColor="text1"/>
          <w:kern w:val="0"/>
          <w:sz w:val="44"/>
          <w:szCs w:val="44"/>
        </w:rPr>
        <w:t>基金项目课题指南</w:t>
      </w:r>
    </w:p>
    <w:tbl>
      <w:tblPr>
        <w:tblStyle w:val="9"/>
        <w:tblpPr w:leftFromText="180" w:rightFromText="180" w:vertAnchor="text" w:horzAnchor="page" w:tblpX="1102" w:tblpY="928"/>
        <w:tblOverlap w:val="never"/>
        <w:tblW w:w="9796" w:type="dxa"/>
        <w:tblInd w:w="0" w:type="dxa"/>
        <w:tblLayout w:type="autofit"/>
        <w:tblCellMar>
          <w:top w:w="0" w:type="dxa"/>
          <w:left w:w="0" w:type="dxa"/>
          <w:bottom w:w="0" w:type="dxa"/>
          <w:right w:w="0" w:type="dxa"/>
        </w:tblCellMar>
      </w:tblPr>
      <w:tblGrid>
        <w:gridCol w:w="510"/>
        <w:gridCol w:w="9286"/>
      </w:tblGrid>
      <w:tr>
        <w:tblPrEx>
          <w:tblCellMar>
            <w:top w:w="0" w:type="dxa"/>
            <w:left w:w="0" w:type="dxa"/>
            <w:bottom w:w="0" w:type="dxa"/>
            <w:right w:w="0" w:type="dxa"/>
          </w:tblCellMar>
        </w:tblPrEx>
        <w:trPr>
          <w:trHeight w:val="720"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一、马克思主义</w:t>
            </w:r>
            <w:r>
              <w:rPr>
                <w:rStyle w:val="13"/>
                <w:rFonts w:eastAsia="黑体"/>
                <w:color w:val="000000" w:themeColor="text1"/>
              </w:rPr>
              <w:t>•</w:t>
            </w:r>
            <w:r>
              <w:rPr>
                <w:rStyle w:val="14"/>
                <w:rFonts w:hint="default"/>
                <w:color w:val="000000" w:themeColor="text1"/>
              </w:rPr>
              <w:t>科学社会主义</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习近平新时代中国特色社会主义思想原创性贡献研究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习近平总书记关于牢记初心使命重要论述研究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习近平总书记关于意识形态工作的重要论述研究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习近平总书记关于人类命运共同体重要论述研究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习近平总书记关于完善疫情防控体制机制重要论述研究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中国特色社会主义制度的深厚历史底蕴及实践基础研究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筑牢中华民族共同体意识研究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新时代发挥中国特色社会主义制度优势研究</w:t>
            </w:r>
          </w:p>
        </w:tc>
      </w:tr>
      <w:tr>
        <w:tblPrEx>
          <w:tblCellMar>
            <w:top w:w="0" w:type="dxa"/>
            <w:left w:w="0" w:type="dxa"/>
            <w:bottom w:w="0" w:type="dxa"/>
            <w:right w:w="0" w:type="dxa"/>
          </w:tblCellMar>
        </w:tblPrEx>
        <w:trPr>
          <w:trHeight w:val="9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新时代国家治理体系和治理能力现代化研究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新时代继续发扬五四精神研究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新时代中国特色志愿服务理论研究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新时代基层党组织工作质量评价体系研究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新时代高校思想政治教育工作培根铸魂的历史使命研究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“中国之治”的制度密码研究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全面建设社会主义现代化对国家治理体系和能力的新要求和新挑战研究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“两个一百年”奋斗目标的历史逻辑和实践展开研究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大数据与高校意识形态安全研究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坚持马克思主义在意识形态领域指导地位的根本制度研究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党的十九大以来江西脱贫攻坚工作的基本经验研究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区块链与高校思想政治教育管理的创新研究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苏区精神融入高校思想政治教育体系研究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龚全珍精神的时代价值与社会主义核心价值观的丰富内涵研究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江西省百年党史红色故事挖掘、考究与宣传研究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我省道德模范典型对培育和践行社会主义核心价值观的意义研究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加强我省意识形态阵地管理研究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江西省新时代加强公民道德建设研究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“江西好人文化”现象背后的道德密码研究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江西省新时代完善文明实践中心建设研究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新时代加强我省宣传思想阵地建设研究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“脚力、眼力、脑力、笔力”的科学内涵与精神实质研究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kern w:val="0"/>
                <w:sz w:val="32"/>
                <w:szCs w:val="32"/>
              </w:rPr>
            </w:pPr>
            <w:r>
              <w:rPr>
                <w:rFonts w:hint="eastAsia" w:ascii="仿宋_GB2312" w:hAnsi="宋体" w:eastAsia="仿宋_GB2312" w:cs="仿宋_GB2312"/>
                <w:color w:val="000000" w:themeColor="text1"/>
                <w:kern w:val="0"/>
                <w:sz w:val="32"/>
                <w:szCs w:val="32"/>
              </w:rPr>
              <w:t>31.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kern w:val="0"/>
                <w:sz w:val="32"/>
                <w:szCs w:val="32"/>
              </w:rPr>
            </w:pPr>
            <w:r>
              <w:rPr>
                <w:rFonts w:hint="eastAsia" w:ascii="仿宋_GB2312" w:hAnsi="宋体" w:eastAsia="仿宋_GB2312" w:cs="仿宋_GB2312"/>
                <w:color w:val="000000" w:themeColor="text1"/>
                <w:kern w:val="0"/>
                <w:sz w:val="32"/>
                <w:szCs w:val="32"/>
              </w:rPr>
              <w:t>习近平总书记关于文化自信的重要论述与江西“四色”文化影响力研究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红色家书在新时代的传承和利用研究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江西哲学社会科学“十四五”发展规划的总体目标、主要任务和具体举措研究</w:t>
            </w:r>
          </w:p>
        </w:tc>
      </w:tr>
      <w:tr>
        <w:tblPrEx>
          <w:tblCellMar>
            <w:top w:w="0" w:type="dxa"/>
            <w:left w:w="0" w:type="dxa"/>
            <w:bottom w:w="0" w:type="dxa"/>
            <w:right w:w="0" w:type="dxa"/>
          </w:tblCellMar>
        </w:tblPrEx>
        <w:trPr>
          <w:trHeight w:val="825"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二、党史</w:t>
            </w:r>
            <w:r>
              <w:rPr>
                <w:rStyle w:val="13"/>
                <w:rFonts w:eastAsia="黑体"/>
                <w:color w:val="000000" w:themeColor="text1"/>
              </w:rPr>
              <w:t>•</w:t>
            </w:r>
            <w:r>
              <w:rPr>
                <w:rFonts w:hint="eastAsia" w:ascii="黑体" w:hAnsi="宋体" w:eastAsia="黑体" w:cs="黑体"/>
                <w:b/>
                <w:color w:val="000000" w:themeColor="text1"/>
                <w:kern w:val="0"/>
                <w:sz w:val="32"/>
                <w:szCs w:val="32"/>
              </w:rPr>
              <w:t>党建</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习近平总书记关于新时代党的建设重要论述研究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中国共产党推进国家治理体系和治理能力现代化历史经验研究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新中国成立以来中国共产党应对重大突发事件的实践和经验研究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我国坚持党的集中统一领导应对重大突发事件的制度经验研究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“不忘初心、牢记使命”主题教育经验和长效机制研究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党的督查工作与完善“两个维护”制度研究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构建一体推进不敢腐、不能腐、不想腐体制机制研究</w:t>
            </w:r>
          </w:p>
        </w:tc>
      </w:tr>
      <w:tr>
        <w:tblPrEx>
          <w:tblCellMar>
            <w:top w:w="0" w:type="dxa"/>
            <w:left w:w="0" w:type="dxa"/>
            <w:bottom w:w="0" w:type="dxa"/>
            <w:right w:w="0" w:type="dxa"/>
          </w:tblCellMar>
        </w:tblPrEx>
        <w:trPr>
          <w:trHeight w:val="52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把提高治理能力作为新时代干部队伍建设的重大任务研究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中国共产党领导实现全面建成小康社会的历程与经验研究</w:t>
            </w:r>
          </w:p>
        </w:tc>
      </w:tr>
      <w:tr>
        <w:tblPrEx>
          <w:tblCellMar>
            <w:top w:w="0" w:type="dxa"/>
            <w:left w:w="0" w:type="dxa"/>
            <w:bottom w:w="0" w:type="dxa"/>
            <w:right w:w="0" w:type="dxa"/>
          </w:tblCellMar>
        </w:tblPrEx>
        <w:trPr>
          <w:trHeight w:val="72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从“四个现代化”到“五个现代化”：中国共产党现代化思想的演进轨迹研究</w:t>
            </w:r>
          </w:p>
        </w:tc>
      </w:tr>
      <w:tr>
        <w:tblPrEx>
          <w:tblCellMar>
            <w:top w:w="0" w:type="dxa"/>
            <w:left w:w="0" w:type="dxa"/>
            <w:bottom w:w="0" w:type="dxa"/>
            <w:right w:w="0" w:type="dxa"/>
          </w:tblCellMar>
        </w:tblPrEx>
        <w:trPr>
          <w:trHeight w:val="74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中国共产党开创中国特色社会主义道路、理论体系、制度、文化的历史经验研究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中国共产党百年奋斗历程、基本经验研究（分阶段、分专题研究）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基层党组织在疫情防控阻击战中充分发挥战斗堡垒作用研究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改进与完善新时期江西省党政干部干事创业的激励机制研究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新时代以党建工作引领社区治理研究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我省农村基层党组织功能在全面脱贫攻坚中的作用研究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中央苏区管党治党历史经验教训研究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中央苏区时期中国共产党制度建构及其社会治理经验研究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中央苏区“扩红”史料整理与时代价值研究</w:t>
            </w:r>
          </w:p>
        </w:tc>
      </w:tr>
      <w:tr>
        <w:tblPrEx>
          <w:tblCellMar>
            <w:top w:w="0" w:type="dxa"/>
            <w:left w:w="0" w:type="dxa"/>
            <w:bottom w:w="0" w:type="dxa"/>
            <w:right w:w="0" w:type="dxa"/>
          </w:tblCellMar>
        </w:tblPrEx>
        <w:trPr>
          <w:trHeight w:val="54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中央苏区时期中国共产党在红都瑞金制度建设的经验总结研究</w:t>
            </w:r>
          </w:p>
        </w:tc>
      </w:tr>
      <w:tr>
        <w:tblPrEx>
          <w:tblCellMar>
            <w:top w:w="0" w:type="dxa"/>
            <w:left w:w="0" w:type="dxa"/>
            <w:bottom w:w="0" w:type="dxa"/>
            <w:right w:w="0" w:type="dxa"/>
          </w:tblCellMar>
        </w:tblPrEx>
        <w:trPr>
          <w:trHeight w:val="7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井冈山精神（苏区精神、长征精神）与建设不忘初心、牢记使命制度的底蕴和传承研究</w:t>
            </w:r>
          </w:p>
        </w:tc>
      </w:tr>
      <w:tr>
        <w:tblPrEx>
          <w:tblCellMar>
            <w:top w:w="0" w:type="dxa"/>
            <w:left w:w="0" w:type="dxa"/>
            <w:bottom w:w="0" w:type="dxa"/>
            <w:right w:w="0" w:type="dxa"/>
          </w:tblCellMar>
        </w:tblPrEx>
        <w:trPr>
          <w:trHeight w:val="52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红色旅游资源优势向党内教育优势转化的路径研究</w:t>
            </w:r>
          </w:p>
        </w:tc>
      </w:tr>
      <w:tr>
        <w:tblPrEx>
          <w:tblCellMar>
            <w:top w:w="0" w:type="dxa"/>
            <w:left w:w="0" w:type="dxa"/>
            <w:bottom w:w="0" w:type="dxa"/>
            <w:right w:w="0" w:type="dxa"/>
          </w:tblCellMar>
        </w:tblPrEx>
        <w:trPr>
          <w:trHeight w:val="52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对江西红色文化资源、抗日战争重要遗址遗迹等的保护和利用研究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“寻乌调查”的时代价值启示研究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新形势下弘扬“方志敏精神”等革命烈士精神研究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巩固和发展我省最广泛的爱国统一战线研究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文天祥爱国精神研究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解读永新的“忠勇信义”精神研究</w:t>
            </w:r>
          </w:p>
        </w:tc>
      </w:tr>
      <w:tr>
        <w:tblPrEx>
          <w:tblCellMar>
            <w:top w:w="0" w:type="dxa"/>
            <w:left w:w="0" w:type="dxa"/>
            <w:bottom w:w="0" w:type="dxa"/>
            <w:right w:w="0" w:type="dxa"/>
          </w:tblCellMar>
        </w:tblPrEx>
        <w:trPr>
          <w:trHeight w:val="820"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 xml:space="preserve"> 三、哲学 </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习近平新时代中国特色社会主义思想的哲学理论研究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kern w:val="0"/>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kern w:val="0"/>
                <w:sz w:val="32"/>
                <w:szCs w:val="32"/>
              </w:rPr>
            </w:pPr>
            <w:r>
              <w:rPr>
                <w:rFonts w:hint="eastAsia" w:ascii="仿宋_GB2312" w:hAnsi="宋体" w:eastAsia="仿宋_GB2312" w:cs="仿宋_GB2312"/>
                <w:color w:val="000000" w:themeColor="text1"/>
                <w:kern w:val="0"/>
                <w:sz w:val="32"/>
                <w:szCs w:val="32"/>
              </w:rPr>
              <w:t>习近平新时代中国特色社会主义思想对中国化马克思主义的贡献研究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习近平总书记关于脱贫攻坚重要论述的哲学研究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习近平总书记关于意识形态工作重要论述的哲学研究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习近平总书记关于新时代群众路线重要论述的哲学基础研究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以人民为中心的思想基础研究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中国社会主义现代化奋斗目标的哲学研究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中国特色社会主义制度优越性的哲学研究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人类命运共同体的哲学研究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社会主义核心价值观基础理论研究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关于高质量发展和美好生活的哲学研究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国家治理体系和治理能力现代化的哲学研究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马克思主义哲学的中国化、时代化、大众化研究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中国传统哲学文献的整理与诠释专题研究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中华传统美德的传承、弘扬和现代转化研究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人工智能与哲学变革研究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区块链技术与哲学社会科学研究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当代国外马克思主义哲学前沿问题研究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阳明学及其相关问题研究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陆九渊与江西儒学研究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宋明理学知行思想研究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新冠肺炎疫情的生命伦理学研究</w:t>
            </w:r>
          </w:p>
        </w:tc>
      </w:tr>
      <w:tr>
        <w:tblPrEx>
          <w:tblCellMar>
            <w:top w:w="0" w:type="dxa"/>
            <w:left w:w="0" w:type="dxa"/>
            <w:bottom w:w="0" w:type="dxa"/>
            <w:right w:w="0" w:type="dxa"/>
          </w:tblCellMar>
        </w:tblPrEx>
        <w:trPr>
          <w:trHeight w:val="739"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四、宗教学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习近平总书记关于我国新时期宗教工作的重要论述研究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马克思主义宗教观的历史与现状研究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宗教文化在中华传统文化中的地位和价值研究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改革开放以来宗教治理研究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宗教生态与环境保护关系研究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民间信仰文化及其社会功能研究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天主教在江西的传教史及其现状研究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宗教哲学的历史与现状发展研究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宗教心理学的跨学科研究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赣西禅宗文化调查与研究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江西省城镇化与新农村建设中的宗教问题研究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江西省道教与文化遗产及民俗关系研究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江西省宗教遗产调查、整理与研究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新时代推进我省宗教与社会主义社会相适应研究</w:t>
            </w:r>
          </w:p>
        </w:tc>
      </w:tr>
      <w:tr>
        <w:tblPrEx>
          <w:tblCellMar>
            <w:top w:w="0" w:type="dxa"/>
            <w:left w:w="0" w:type="dxa"/>
            <w:bottom w:w="0" w:type="dxa"/>
            <w:right w:w="0" w:type="dxa"/>
          </w:tblCellMar>
        </w:tblPrEx>
        <w:trPr>
          <w:trHeight w:val="840"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五、理论经济</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习近平新时代中国特色社会主义经济思想体系研究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我省编制“十四五”规划若干重大问题研究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新时代自然资源和生态环境管理体制改革研究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基于5G商用背景下的江西数字经济发展策略研究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精准脱贫的政治经济学研究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区域一体化的理论基础和经济效应研究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全面小康社会中居民美好生活的经济理论基础研究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国家治理体系现代化背景下构建生态治理长效机制研究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协同推进生态优先和绿色发展研究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“十四五”期间新发展理念引领经济高质量发展研究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智能制造引领江西高质量发展产业政策研究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进一步健全我省城乡基层治理体系研究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疫情防控与江西经济可持续发展的统筹机制研究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加快完善我省社会治安防控体系研究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协调推进我省脱贫攻坚与乡村振兴战略研究</w:t>
            </w:r>
          </w:p>
        </w:tc>
      </w:tr>
      <w:tr>
        <w:tblPrEx>
          <w:tblCellMar>
            <w:top w:w="0" w:type="dxa"/>
            <w:left w:w="0" w:type="dxa"/>
            <w:bottom w:w="0" w:type="dxa"/>
            <w:right w:w="0" w:type="dxa"/>
          </w:tblCellMar>
        </w:tblPrEx>
        <w:trPr>
          <w:trHeight w:val="675"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hint="eastAsia" w:ascii="黑体" w:hAnsi="宋体" w:eastAsia="黑体" w:cs="黑体"/>
                <w:b/>
                <w:color w:val="000000" w:themeColor="text1"/>
                <w:kern w:val="0"/>
                <w:sz w:val="32"/>
                <w:szCs w:val="32"/>
              </w:rPr>
            </w:pPr>
          </w:p>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六、应用经济</w:t>
            </w:r>
          </w:p>
        </w:tc>
      </w:tr>
      <w:tr>
        <w:tblPrEx>
          <w:tblCellMar>
            <w:top w:w="0" w:type="dxa"/>
            <w:left w:w="0" w:type="dxa"/>
            <w:bottom w:w="0" w:type="dxa"/>
            <w:right w:w="0" w:type="dxa"/>
          </w:tblCellMar>
        </w:tblPrEx>
        <w:trPr>
          <w:trHeight w:val="564"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江西“十四五”发展重大问题和重大战略研究</w:t>
            </w:r>
          </w:p>
        </w:tc>
      </w:tr>
      <w:tr>
        <w:tblPrEx>
          <w:tblCellMar>
            <w:top w:w="0" w:type="dxa"/>
            <w:left w:w="0" w:type="dxa"/>
            <w:bottom w:w="0" w:type="dxa"/>
            <w:right w:w="0" w:type="dxa"/>
          </w:tblCellMar>
        </w:tblPrEx>
        <w:trPr>
          <w:trHeight w:val="459"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“十四五”时期区块链战略的江西定位与推进路径研究</w:t>
            </w:r>
          </w:p>
        </w:tc>
      </w:tr>
      <w:tr>
        <w:tblPrEx>
          <w:tblCellMar>
            <w:top w:w="0" w:type="dxa"/>
            <w:left w:w="0" w:type="dxa"/>
            <w:bottom w:w="0" w:type="dxa"/>
            <w:right w:w="0" w:type="dxa"/>
          </w:tblCellMar>
        </w:tblPrEx>
        <w:trPr>
          <w:trHeight w:val="564"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“十四五”时期江西制造强省建设的重点突破领域与推进路径研究</w:t>
            </w:r>
          </w:p>
        </w:tc>
      </w:tr>
      <w:tr>
        <w:tblPrEx>
          <w:tblCellMar>
            <w:top w:w="0" w:type="dxa"/>
            <w:left w:w="0" w:type="dxa"/>
            <w:bottom w:w="0" w:type="dxa"/>
            <w:right w:w="0" w:type="dxa"/>
          </w:tblCellMar>
        </w:tblPrEx>
        <w:trPr>
          <w:trHeight w:val="740" w:hRule="atLeast"/>
        </w:trPr>
        <w:tc>
          <w:tcPr>
            <w:tcW w:w="510" w:type="dxa"/>
            <w:tcBorders>
              <w:top w:val="nil"/>
              <w:left w:val="nil"/>
              <w:bottom w:val="nil"/>
              <w:right w:val="nil"/>
            </w:tcBorders>
            <w:shd w:val="clear" w:color="auto" w:fill="auto"/>
            <w:noWrap/>
            <w:tcMar>
              <w:top w:w="15" w:type="dxa"/>
              <w:left w:w="15" w:type="dxa"/>
              <w:right w:w="15" w:type="dxa"/>
            </w:tcMar>
            <w:vAlign w:val="top"/>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促进经济数字化、网络化、智能化支撑江西高质量跨越式发展的思路和重点举措研究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中央脱贫攻坚专项巡视“回头看”和成效考核反馈问题总结研究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聚焦我省“两不愁三保障”突出问题精准施策补齐短板研究</w:t>
            </w:r>
          </w:p>
        </w:tc>
      </w:tr>
      <w:tr>
        <w:tblPrEx>
          <w:tblCellMar>
            <w:top w:w="0" w:type="dxa"/>
            <w:left w:w="0" w:type="dxa"/>
            <w:bottom w:w="0" w:type="dxa"/>
            <w:right w:w="0" w:type="dxa"/>
          </w:tblCellMar>
        </w:tblPrEx>
        <w:trPr>
          <w:trHeight w:val="56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江西经济数字化转型面临的主要瓶颈及对策研究</w:t>
            </w:r>
          </w:p>
        </w:tc>
      </w:tr>
      <w:tr>
        <w:tblPrEx>
          <w:tblCellMar>
            <w:top w:w="0" w:type="dxa"/>
            <w:left w:w="0" w:type="dxa"/>
            <w:bottom w:w="0" w:type="dxa"/>
            <w:right w:w="0" w:type="dxa"/>
          </w:tblCellMar>
        </w:tblPrEx>
        <w:trPr>
          <w:trHeight w:val="56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大南昌打造智慧都市圈的发展策略研究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江西加快融入粤港澳大湾区建设发展路径与举措研究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赣东北地区全面对接融入长三角一体化和海西区路径与举措研究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江西融入新一轮技术革命推动制造业高质量发展产业政策研究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加快赣江新区现代化产业体系建设研究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加快建设鄱阳湖国家自主创新示范区的战略思考与对策建议</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优化营商环境视域下创新驱动航空产业军民深度融合发展研究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江西全面建成小康社会进程中的差距、难点及追赶战略研究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新冠肺炎疫情后决战决胜我省脱贫攻坚的政策建议研究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top"/>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napToGrid w:val="0"/>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新冠肺炎疫情对我省金融、房地产等重点经济领域的影响分析与对策建议研究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江西打造“四最”营商环境的思路和重点举措研究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加快推动我省区块链和实体经济深度融合研究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 xml:space="preserve">加快推动我省优势传统产业数字化转型发展对策研究 </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加快“物联江西”向“智联江西”转变的高质量发展路径研究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新阶段推进我省内陆双向高水平开放研究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加快推进我省市域社会治理现代化研究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江西打造世界级“VR中心”战略研究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江西加快打造“VR+旅游”(“VR+教育”)融合创新应用高地研究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基于VR平台的海昏侯墓葬结构工程展示研究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健康江西背景下我省中医药产业高质量发展路径研究</w:t>
            </w:r>
          </w:p>
        </w:tc>
      </w:tr>
      <w:tr>
        <w:tblPrEx>
          <w:tblCellMar>
            <w:top w:w="0" w:type="dxa"/>
            <w:left w:w="0" w:type="dxa"/>
            <w:bottom w:w="0" w:type="dxa"/>
            <w:right w:w="0" w:type="dxa"/>
          </w:tblCellMar>
        </w:tblPrEx>
        <w:trPr>
          <w:trHeight w:val="800" w:hRule="atLeast"/>
        </w:trPr>
        <w:tc>
          <w:tcPr>
            <w:tcW w:w="510" w:type="dxa"/>
            <w:tcBorders>
              <w:top w:val="nil"/>
              <w:left w:val="nil"/>
              <w:bottom w:val="nil"/>
              <w:right w:val="nil"/>
            </w:tcBorders>
            <w:shd w:val="clear" w:color="auto" w:fill="auto"/>
            <w:noWrap/>
            <w:tcMar>
              <w:top w:w="15" w:type="dxa"/>
              <w:left w:w="15" w:type="dxa"/>
              <w:right w:w="15" w:type="dxa"/>
            </w:tcMar>
            <w:vAlign w:val="top"/>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napToGrid w:val="0"/>
              <w:jc w:val="left"/>
              <w:textAlignment w:val="center"/>
              <w:rPr>
                <w:rFonts w:ascii="仿宋_GB2312" w:hAnsi="宋体" w:eastAsia="仿宋_GB2312" w:cs="仿宋_GB2312"/>
                <w:color w:val="000000" w:themeColor="text1"/>
                <w:kern w:val="0"/>
                <w:sz w:val="32"/>
                <w:szCs w:val="32"/>
              </w:rPr>
            </w:pPr>
            <w:r>
              <w:rPr>
                <w:rFonts w:hint="eastAsia" w:ascii="仿宋_GB2312" w:hAnsi="宋体" w:eastAsia="仿宋_GB2312" w:cs="仿宋_GB2312"/>
                <w:color w:val="000000" w:themeColor="text1"/>
                <w:kern w:val="0"/>
                <w:sz w:val="32"/>
                <w:szCs w:val="32"/>
              </w:rPr>
              <w:t>加快建设“国内领先、世界知名”中医药强省的重点突破领域与推进路径研究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全国“四大药都”比较与我省中医药产业发展研究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创新推进我省健康与养老产业深度融合研究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大数据背景下江西省传统工业转型发展对策研究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top"/>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napToGrid w:val="0"/>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低碳经济背景下江西新能源产业发展的路径选择与政策支持体系研究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长江经济带污染密集型企业生态效率测度及提升机制研究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我省城镇化与乡村振兴融合发展战略研究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教育精准扶贫与乡村人才振兴的政策衔接研究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江西省减税降费政策效果评估研究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我省国企改革、治理效率与绩效研究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推进江西农业农村现代化的路径选择与制度创新研究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江西省绿色农业生产存在的问题与对策研究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江西省数字农业发展的差距及对策研究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江西农村集体产权制度改革难点问题研究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江西粮食生产扬优成势巩固主产区地位战略研究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绿色兴农与品牌强农的江西农业高质量发展研究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利用稀土废弃矿治理工程大力发展高效设施农业研究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加快推进景德镇国家陶瓷文化传承创新试验区发展路径与政策扶持研究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加快推进长征国家文化公园江西段建设的思路和重点举措研究</w:t>
            </w:r>
          </w:p>
        </w:tc>
      </w:tr>
      <w:tr>
        <w:tblPrEx>
          <w:tblCellMar>
            <w:top w:w="0" w:type="dxa"/>
            <w:left w:w="0" w:type="dxa"/>
            <w:bottom w:w="0" w:type="dxa"/>
            <w:right w:w="0" w:type="dxa"/>
          </w:tblCellMar>
        </w:tblPrEx>
        <w:trPr>
          <w:trHeight w:val="855"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七、法学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新时代党和国家治理现代化和法治化问题研究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新时代国家制度和法律制度创新发展的重大理论与实践问题研究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我省“十四五”规划设计中的重大法治问题研究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强化知识产权保护制度研究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以国家立法明确党的领导地位研究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依法治国和依规治党有机统一研究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健全保障宪法全面实施的体制机制研究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国家治理现代化与未成年人事务治理法治保障研究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志愿服务法治问题研究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中国特色社会主义法律监督体系研究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社会治理视野下法治与德治相结合研究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网络犯罪参与问题研究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我国基本医疗卫生立法研究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法治政府建设与营商环境优化研究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江西省扫黑除恶的法治机制研究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江西省综合行政执法体制改革研究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我省稀土资源利用与行业治理法律制度研究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强化公共卫生法治保障研究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完善疫情防控相关立法，加强配套制度建设研究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重大疫情公布、公开的法治完善研究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“信用江西”建设的法治保障研究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完善野生动物保护法、生物安全法研究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江西生态司法机制优化研究</w:t>
            </w:r>
          </w:p>
        </w:tc>
      </w:tr>
      <w:tr>
        <w:tblPrEx>
          <w:tblCellMar>
            <w:top w:w="0" w:type="dxa"/>
            <w:left w:w="0" w:type="dxa"/>
            <w:bottom w:w="0" w:type="dxa"/>
            <w:right w:w="0" w:type="dxa"/>
          </w:tblCellMar>
        </w:tblPrEx>
        <w:trPr>
          <w:trHeight w:val="840"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八、社会学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重大突发公共卫生事件中的公共服务体系建设研究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重大突发公共卫生事件中的民生保障与社会救助研究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江西省重大公共卫生突发疫情预警机制与应急防疫准备研究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napToGrid w:val="0"/>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江西省重大公共卫生突发疫情防控应急条件下社会治安风险防控研究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推进我省消防安全治理体系和治理能力现代化研究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加强疫情后我省就业形势研判强化就业服务研究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新冠肺炎疫情突发事件风险应对的有益经验及其启示研究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打造江西共建共治共享的社会治理格局的实现路径研究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推进我省基层直接民主的制度化与规范化研究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我省农业文化遗产保护与发展的社会学研究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新时代企业社会责任研究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新时代文明实践志愿服务工作方法研究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江西健全社区建设、社会组织和社会工作“三社联动”机制研究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“厕所革命”与社会发展研究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“垃圾分类”与社会文明研究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人民美好生活需要发展趋势研究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贫困村第一书记助力扶贫攻坚作用（经验总结）研究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全面建成小康社会进程中的反贫困研究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江西省农村空巢老年人养老服务问题研究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社会力量协同乡村振兴的路径与机制研究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“党建+”“文化+”引领我省乡村“善治”新格局研究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创新社会治理视域下社会工作参与社区共同体建设问题研究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异地扶贫搬迁农户的社会融入及社会工作服务路径研究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赣南原中央苏区社会建设实践与政策史研究</w:t>
            </w:r>
          </w:p>
        </w:tc>
      </w:tr>
      <w:tr>
        <w:tblPrEx>
          <w:tblCellMar>
            <w:top w:w="0" w:type="dxa"/>
            <w:left w:w="0" w:type="dxa"/>
            <w:bottom w:w="0" w:type="dxa"/>
            <w:right w:w="0" w:type="dxa"/>
          </w:tblCellMar>
        </w:tblPrEx>
        <w:trPr>
          <w:trHeight w:val="930"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九、政治学</w:t>
            </w:r>
          </w:p>
        </w:tc>
      </w:tr>
      <w:tr>
        <w:tblPrEx>
          <w:tblCellMar>
            <w:top w:w="0" w:type="dxa"/>
            <w:left w:w="0" w:type="dxa"/>
            <w:bottom w:w="0" w:type="dxa"/>
            <w:right w:w="0" w:type="dxa"/>
          </w:tblCellMar>
        </w:tblPrEx>
        <w:trPr>
          <w:trHeight w:val="7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习近平总书记关于坚持和完善中国特色社会主义制度、推进国家治理体系和治理能力现代化的重要论述研究</w:t>
            </w:r>
          </w:p>
        </w:tc>
      </w:tr>
      <w:tr>
        <w:tblPrEx>
          <w:tblCellMar>
            <w:top w:w="0" w:type="dxa"/>
            <w:left w:w="0" w:type="dxa"/>
            <w:bottom w:w="0" w:type="dxa"/>
            <w:right w:w="0" w:type="dxa"/>
          </w:tblCellMar>
        </w:tblPrEx>
        <w:trPr>
          <w:trHeight w:val="86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十八大以来坚持和完善中国特色社会主义制度、推进国家治理体系和治理能力现代化的重大理论成果、实践成果和制度成果研究</w:t>
            </w:r>
          </w:p>
        </w:tc>
      </w:tr>
      <w:tr>
        <w:tblPrEx>
          <w:tblCellMar>
            <w:top w:w="0" w:type="dxa"/>
            <w:left w:w="0" w:type="dxa"/>
            <w:bottom w:w="0" w:type="dxa"/>
            <w:right w:w="0" w:type="dxa"/>
          </w:tblCellMar>
        </w:tblPrEx>
        <w:trPr>
          <w:trHeight w:val="74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坚持和完善中国特色社会主义制度与推进国家治理体系和治理能力现代化的相互关系研究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中国优秀传统文化中关于国家治理与制度建设的思想研究</w:t>
            </w:r>
          </w:p>
        </w:tc>
      </w:tr>
      <w:tr>
        <w:tblPrEx>
          <w:tblCellMar>
            <w:top w:w="0" w:type="dxa"/>
            <w:left w:w="0" w:type="dxa"/>
            <w:bottom w:w="0" w:type="dxa"/>
            <w:right w:w="0" w:type="dxa"/>
          </w:tblCellMar>
        </w:tblPrEx>
        <w:trPr>
          <w:trHeight w:val="74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中国特色社会主义制度和国家治理体系调动各方面积极性，集中力量办大事的显著优势的机理研究</w:t>
            </w:r>
          </w:p>
        </w:tc>
      </w:tr>
      <w:tr>
        <w:tblPrEx>
          <w:tblCellMar>
            <w:top w:w="0" w:type="dxa"/>
            <w:left w:w="0" w:type="dxa"/>
            <w:bottom w:w="0" w:type="dxa"/>
            <w:right w:w="0" w:type="dxa"/>
          </w:tblCellMar>
        </w:tblPrEx>
        <w:trPr>
          <w:trHeight w:val="76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中国特色社会主义坚持共同的理想信念、价值理念、道德观念的制度显著优势的机理研究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坚持不懈锤炼党员干部忠诚干净担当政治品格的长效机制研究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top"/>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napToGrid w:val="0"/>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把我国政治制度优势更好地转化为国家治理的政治效能的途径和机制研究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健全维护党的集中统一的组织制度研究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党内法规制度建设与国家治理现代化关系研究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完善党领导人民团体的制度研究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新时代民营企业党的建设研究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完善党领导基层群众自治组织的制度研究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top"/>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napToGrid w:val="0"/>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维护和保障人民政治权利与推进国家治理体系和治理能力现代化的关系研究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完善对于领导干部担当作为的激励机制研究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规范党内政治生活，严明政治纪律和政治规矩的制度建设研究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健全政府行政执行系统，提高政府执行力和公信力研究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推进基层政府减负提质增效的体制机制研究</w:t>
            </w:r>
          </w:p>
        </w:tc>
      </w:tr>
      <w:tr>
        <w:tblPrEx>
          <w:tblCellMar>
            <w:top w:w="0" w:type="dxa"/>
            <w:left w:w="0" w:type="dxa"/>
            <w:bottom w:w="0" w:type="dxa"/>
            <w:right w:w="0" w:type="dxa"/>
          </w:tblCellMar>
        </w:tblPrEx>
        <w:trPr>
          <w:trHeight w:val="72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坚持马克思主义在意识形态领域指导地位的根本制度，落实意识形态工作责任制研究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完善精准问责有效机制研究</w:t>
            </w:r>
          </w:p>
        </w:tc>
      </w:tr>
      <w:tr>
        <w:tblPrEx>
          <w:tblCellMar>
            <w:top w:w="0" w:type="dxa"/>
            <w:left w:w="0" w:type="dxa"/>
            <w:bottom w:w="0" w:type="dxa"/>
            <w:right w:w="0" w:type="dxa"/>
          </w:tblCellMar>
        </w:tblPrEx>
        <w:trPr>
          <w:trHeight w:val="930"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十、语言学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新时代语言文明建设研究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语言智库理论建设研究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老年语言能力及语言障碍研究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二语习得输入与产出的理论和应用研究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面向人工智能的语言脑机制研究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汉语语音史、词汇史、语法史研究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甲骨文等古文字与中华文化传承研究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中国传统语文学（文字、音韵、训诂）的继承与创新研究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中国特色外语教育教学理论研究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 xml:space="preserve">江西非遗项目中的方言词汇研究   </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江西方言文献语料研究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江西出土文字搜集、整理与研究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江西历代碑刻整理与研究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城市化进程中的语言选择与地域特色语言文化保护研究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“文化自信”背景下中医文化翻译中的传播力构建研究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江西“四色文化”与社会语言景观研究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江西地名用字研究</w:t>
            </w:r>
          </w:p>
        </w:tc>
      </w:tr>
      <w:tr>
        <w:tblPrEx>
          <w:tblCellMar>
            <w:top w:w="0" w:type="dxa"/>
            <w:left w:w="0" w:type="dxa"/>
            <w:bottom w:w="0" w:type="dxa"/>
            <w:right w:w="0" w:type="dxa"/>
          </w:tblCellMar>
        </w:tblPrEx>
        <w:trPr>
          <w:trHeight w:val="915"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十一、文学</w:t>
            </w:r>
          </w:p>
        </w:tc>
      </w:tr>
      <w:tr>
        <w:tblPrEx>
          <w:tblCellMar>
            <w:top w:w="0" w:type="dxa"/>
            <w:left w:w="0" w:type="dxa"/>
            <w:bottom w:w="0" w:type="dxa"/>
            <w:right w:w="0" w:type="dxa"/>
          </w:tblCellMar>
        </w:tblPrEx>
        <w:trPr>
          <w:trHeight w:val="72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习近平总书记文艺工作系列讲话与新时代中国社会主义文艺新实践新气象新展望研究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五四文学传统的当代价值研究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当代马克思主义文艺理论研究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中国现当代文学史学的基本问题研究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新中国成立以来文学重要作家作品及文学批评研究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红色文化与经典作品研究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经典作家研究中的马克思主义立场和方法研究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文化产业视角下的江西书院文化创新发展研究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江西古代书院文化遗产抢救与保护传承体系研究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江西谱牒文化研究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浮梁茶、景德瓷、乐平戏与景德镇商业文化研究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浮梁县署及其文化特色研究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“同光体”赣派诗人研究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赣鄱文化与阳明学研究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元代江西诗人研究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文化自信与江西文脉传承发展研究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赣鄱文化与文学特色形成研究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赣西花炮民俗文化之内涵与保护传承研究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客家习俗文化探微</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赣南客家宗祠文化研究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分宜（中国夏布之乡）夏布文化的传承与发展探究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天工开物工艺文化研究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新喻清代民国匾额研究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24.</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元宵唱船民俗文化生态与传承保护研究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25.</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黎川古代文化世家研究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26.</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吴嵩梁及其作品研究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27.</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黄爵滋文存整理和研究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28.</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临川文化创新发展路径研究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29.</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上堡梯田</w:t>
            </w:r>
            <w:r>
              <w:rPr>
                <w:rFonts w:hint="eastAsia" w:ascii="仿宋_GB2312" w:hAnsi="宋体" w:eastAsia="仿宋_GB2312" w:cs="仿宋_GB2312"/>
                <w:color w:val="000000" w:themeColor="text1"/>
                <w:kern w:val="0"/>
                <w:sz w:val="32"/>
                <w:szCs w:val="32"/>
                <w:lang w:val="en-US" w:eastAsia="zh-CN"/>
              </w:rPr>
              <w:t>--</w:t>
            </w:r>
            <w:r>
              <w:rPr>
                <w:rFonts w:hint="eastAsia" w:ascii="仿宋_GB2312" w:hAnsi="宋体" w:eastAsia="仿宋_GB2312" w:cs="仿宋_GB2312"/>
                <w:color w:val="000000" w:themeColor="text1"/>
                <w:kern w:val="0"/>
                <w:sz w:val="32"/>
                <w:szCs w:val="32"/>
              </w:rPr>
              <w:t>客家稻做农耕文化遗产研究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30.</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全南瑶族文化整理与研究</w:t>
            </w:r>
          </w:p>
        </w:tc>
      </w:tr>
      <w:tr>
        <w:tblPrEx>
          <w:tblCellMar>
            <w:top w:w="0" w:type="dxa"/>
            <w:left w:w="0" w:type="dxa"/>
            <w:bottom w:w="0" w:type="dxa"/>
            <w:right w:w="0" w:type="dxa"/>
          </w:tblCellMar>
        </w:tblPrEx>
        <w:trPr>
          <w:trHeight w:val="795"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十二、艺术学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习近平新时代中国特色社会主义文化艺术重要论述研究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新媒介与文艺创作及批评研究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影视如何讲好江西故事研究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电影、广播电视及新媒体艺术的跨学科研究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网络电影、网络剧与网络综艺现状及发展研究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移动短视频现状与发展研究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VR、AR、MR对影视创作及产业的影响研究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乡村振兴战略视域下江西戏曲非遗传承研究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江西红色音乐文化研究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江西傩舞创作艺术研究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中国当代陶瓷艺术文献整理与研究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景德镇陶瓷艺术研究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汪大沧对景德镇陶瓷美术的影响研究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婺源传统木雕艺术研究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江西航空文化创意产业的历史溯源与创新研究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流行音乐与传播社会主义核心价值观研究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江西电影史料整理研究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“四色”文化背景下的江西旅游商品设计与地域文化特性研究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翻译叙事视角下汤显祖戏曲海外传播研究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江西传统艺术创造性转化与创新性发展研究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明清以来江西道教与戏曲音乐研究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赣南采茶戏的传承与保护研究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赣南客家围屋建筑艺术与保护利用研究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“非遗”铜鼓客家山歌在高校的传承发展研究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非遗文化视角下的江西地方戏曲脸谱抢救发掘与活化应用研究</w:t>
            </w:r>
          </w:p>
        </w:tc>
      </w:tr>
      <w:tr>
        <w:tblPrEx>
          <w:tblCellMar>
            <w:top w:w="0" w:type="dxa"/>
            <w:left w:w="0" w:type="dxa"/>
            <w:bottom w:w="0" w:type="dxa"/>
            <w:right w:w="0" w:type="dxa"/>
          </w:tblCellMar>
        </w:tblPrEx>
        <w:trPr>
          <w:trHeight w:val="825"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十三、教育学</w:t>
            </w:r>
            <w:r>
              <w:rPr>
                <w:rStyle w:val="13"/>
                <w:rFonts w:eastAsia="黑体"/>
                <w:color w:val="000000" w:themeColor="text1"/>
              </w:rPr>
              <w:t>•</w:t>
            </w:r>
            <w:r>
              <w:rPr>
                <w:rFonts w:hint="eastAsia" w:ascii="黑体" w:hAnsi="宋体" w:eastAsia="黑体" w:cs="黑体"/>
                <w:b/>
                <w:color w:val="000000" w:themeColor="text1"/>
                <w:kern w:val="0"/>
                <w:sz w:val="32"/>
                <w:szCs w:val="32"/>
              </w:rPr>
              <w:t>心理学</w:t>
            </w:r>
          </w:p>
        </w:tc>
      </w:tr>
      <w:tr>
        <w:tblPrEx>
          <w:tblCellMar>
            <w:top w:w="0" w:type="dxa"/>
            <w:left w:w="0" w:type="dxa"/>
            <w:bottom w:w="0" w:type="dxa"/>
            <w:right w:w="0" w:type="dxa"/>
          </w:tblCellMar>
        </w:tblPrEx>
        <w:trPr>
          <w:trHeight w:val="7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习近平新时代中国特色社会主义思想“三进”（进教材、进课堂、进头脑）工作实践研究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新时代爱国主义教育长效机制研究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增强中国话语权视域下高校外语课程思政建设研究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“课程思政”融入人才培养的路径研究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把制度自信教育融入国民教育全过程的实践路径研究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建全完善高校科研诚信保障机制研究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重大突发公共卫生事件下公众风险感知、行为规律与健康心理引导研究</w:t>
            </w:r>
          </w:p>
        </w:tc>
      </w:tr>
      <w:tr>
        <w:tblPrEx>
          <w:tblCellMar>
            <w:top w:w="0" w:type="dxa"/>
            <w:left w:w="0" w:type="dxa"/>
            <w:bottom w:w="0" w:type="dxa"/>
            <w:right w:w="0" w:type="dxa"/>
          </w:tblCellMar>
        </w:tblPrEx>
        <w:trPr>
          <w:trHeight w:val="7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大数据、人工智能、5G、AR/VR、区块链等新技术助力教育结构变革、教学模式和学习模式变革</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线上教学模式的效果及社会认同研究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促进教育治理能力提升的教育评价制度改革研究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新时代民办教育发展战略和治理创新研究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“十四五”期间我省高等教育发展目标与推进策略研究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我省义务教育资源优质均衡发展研究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提高农村教育质量与乡村发展振兴战略研究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核心素养引领下中小学生实践能力与创新能力培养的行动研究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江西高校毕业留赣就业意愿调查研究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“双一流”背景下区域学科均衡发展战略研究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平安中国视角下的社会礼让行为研究</w:t>
            </w:r>
          </w:p>
        </w:tc>
      </w:tr>
      <w:tr>
        <w:tblPrEx>
          <w:tblCellMar>
            <w:top w:w="0" w:type="dxa"/>
            <w:left w:w="0" w:type="dxa"/>
            <w:bottom w:w="0" w:type="dxa"/>
            <w:right w:w="0" w:type="dxa"/>
          </w:tblCellMar>
        </w:tblPrEx>
        <w:trPr>
          <w:trHeight w:val="76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高等教育大众化背景下的大学生群体研究（大学生思想品德与价值观、大学生学业、行为、大学生心理健康与就业指导等）</w:t>
            </w:r>
          </w:p>
        </w:tc>
      </w:tr>
      <w:tr>
        <w:tblPrEx>
          <w:tblCellMar>
            <w:top w:w="0" w:type="dxa"/>
            <w:left w:w="0" w:type="dxa"/>
            <w:bottom w:w="0" w:type="dxa"/>
            <w:right w:w="0" w:type="dxa"/>
          </w:tblCellMar>
        </w:tblPrEx>
        <w:trPr>
          <w:trHeight w:val="840"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十四、体育学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习近平新时代中国特色社会主义思想与体育强国建设研究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新时代国家体育治理体系和治理能力现代化研究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新时代中华体育精神创新与发展研究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新时代我国青少年体育价值观研究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新中国体育发展的历程、成就与经验研究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中华优秀体育传统文化的核心价值及其传承研究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中国特色的体育科研成果评价体系研究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妇女、儿童体育健康促进研究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智慧社区健身与健康融合理论与实践研究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“乡村振兴战略”与乡村体育发展研究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体育公共事件的危机管理研究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智能化时代体育消费转型研究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“十四五”时期江西省全民健身发展策略研究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我省学校教育制度与学校体育改革研究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江西足球特色学校管理与评价研究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江西省竞技体育人才教体融合培养模式研究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江西省红色文化与体育强国建设的融合与发展研究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健康中国战略下基层体育协会服务社会能力提升研究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新时代江西省城乡公共体育服务一体化发展机制研究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供给侧改革背景下江西省“旅游+体育”产业模式创新研究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基于非物质文化遗产保护的傩舞体育文化传承研究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文化自信语境下南昌国际马拉松品牌塑造与路径选择研究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江西省城市社区老年人体育服务体系构建的调查研究</w:t>
            </w:r>
          </w:p>
        </w:tc>
      </w:tr>
      <w:tr>
        <w:tblPrEx>
          <w:tblCellMar>
            <w:top w:w="0" w:type="dxa"/>
            <w:left w:w="0" w:type="dxa"/>
            <w:bottom w:w="0" w:type="dxa"/>
            <w:right w:w="0" w:type="dxa"/>
          </w:tblCellMar>
        </w:tblPrEx>
        <w:trPr>
          <w:trHeight w:val="915" w:hRule="atLeast"/>
        </w:trPr>
        <w:tc>
          <w:tcPr>
            <w:tcW w:w="9796" w:type="dxa"/>
            <w:gridSpan w:val="2"/>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十五、新闻传播学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习近平新时代中国特色社会主义思想的对外传播研究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国家治理能力建设与新闻舆论工作关系研究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网络文化的传播机制与舆情治理研究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微短视频与核心价值观传播研究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新时代新闻舆论监督的价值、内涵及路径研究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“颜色革命”背景下的意识形态安全建构研究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中国共产党建党100年党报党刊话语研究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新中国成立70年来媒体形象建构研究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5G+人工智能驱动媒体深度融合发展研究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5G技术普及在出版工作中的应用与前景研究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提高新闻舆论传播力引导力影响力公信力研究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中央苏区报刊的健康传播社会史研究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井冈山红色文化叙事传播研究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赣南苏区红色文化的微视频表达与传播研究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“一带一路”背景下的中医药文化国际传播途径研究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江西非物质文化遗产在“一带一路”沿线国家传播研究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非物质文化遗产赣南客家灯彩舞蹈的传播途径研究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南丰傩文化数据库的构建与传播</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中国陶瓷故事域外传播研究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社会化媒体视角下的江西城市形象传播研究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重大突发公共卫生事件中的舆情应对与治理研究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重大疫情中谣言传播与信息治理研究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讲好江西抗疫故事研究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24.</w:t>
            </w:r>
          </w:p>
        </w:tc>
        <w:tc>
          <w:tcPr>
            <w:tcW w:w="928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“十四五”时期健全我省重大舆情和突发事件舆论引导机制研究</w:t>
            </w:r>
          </w:p>
        </w:tc>
      </w:tr>
      <w:tr>
        <w:tblPrEx>
          <w:tblCellMar>
            <w:top w:w="0" w:type="dxa"/>
            <w:left w:w="0" w:type="dxa"/>
            <w:bottom w:w="0" w:type="dxa"/>
            <w:right w:w="0" w:type="dxa"/>
          </w:tblCellMar>
        </w:tblPrEx>
        <w:trPr>
          <w:trHeight w:val="800" w:hRule="atLeast"/>
        </w:trPr>
        <w:tc>
          <w:tcPr>
            <w:tcW w:w="9796" w:type="dxa"/>
            <w:gridSpan w:val="2"/>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hint="eastAsia" w:ascii="黑体" w:hAnsi="宋体" w:eastAsia="黑体" w:cs="黑体"/>
                <w:b/>
                <w:color w:val="000000" w:themeColor="text1"/>
                <w:kern w:val="0"/>
                <w:sz w:val="32"/>
                <w:szCs w:val="32"/>
              </w:rPr>
            </w:pPr>
          </w:p>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十六、图书情报学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5G时代的原生数字资源开发与利用研究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基层图书馆为返乡农民工服务的问题与对策研究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大数据背景下的应急管理多元主体信息协同研究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区块链技术在图书情报领域的理论与实践研究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人文社会科学领域学术诚信状况的实证分析</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“双一流”建设背景下我省高校图书馆智库型学科服务研究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新一代智慧图书馆的功能与业务体系建设研究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网络空间命运共同体战略下信息资源管理理论研究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社会诚信建设背景下文件档案管理和服务创新研究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“双一流”建设背景下高校图书馆学科服务创新机制研究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江西省高校图书馆社会化服务研究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大数据环境下公共图书馆智慧化创新服务模式研究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乡村振兴战略下农民电子商务的信息行为研究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江西省非遗数字档案资源的建设与开发研究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“十四五”时期建立健全我省网络综合治理体系研究</w:t>
            </w:r>
          </w:p>
        </w:tc>
      </w:tr>
      <w:tr>
        <w:tblPrEx>
          <w:tblCellMar>
            <w:top w:w="0" w:type="dxa"/>
            <w:left w:w="0" w:type="dxa"/>
            <w:bottom w:w="0" w:type="dxa"/>
            <w:right w:w="0" w:type="dxa"/>
          </w:tblCellMar>
        </w:tblPrEx>
        <w:trPr>
          <w:trHeight w:val="780" w:hRule="atLeast"/>
        </w:trPr>
        <w:tc>
          <w:tcPr>
            <w:tcW w:w="9796" w:type="dxa"/>
            <w:gridSpan w:val="2"/>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十七、历史学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中国近现代史基本问题研究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中国古代国家治理体系及治理经验研究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近代中国制度体系的由来与变迁研究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抗战时期中共统一战线政策研究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当代农村基层社会史资料的收集、整理与研究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中国人民抗日战争及世界反法西斯战争史研究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抗美援朝史研究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中国古代疫情防控治理史研究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中央苏区史专题研究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历史地理学视域下中央苏区反“围剿”战争研究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江西古村落历史文化挖掘与提炼研究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江西千年古县地名文化遗产研究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江西中医药事业的发展史研究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宋代江西士人文献收集整理研究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历史时期鄱阳湖流域水患治理与水环境保护研究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近代江西商人资料整理与研究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新干大洋洲青铜器的整理与研究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东晋南朝江州政治地理研究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江西汉代文化遗址遗存田野调查研究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景德镇明清御窑厂遗产资源整理、保护研究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鹰潭龙虎山大上清宫遗址发掘资料的整理与研究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状元谢一夔家世考略</w:t>
            </w:r>
          </w:p>
        </w:tc>
      </w:tr>
      <w:tr>
        <w:tblPrEx>
          <w:tblCellMar>
            <w:top w:w="0" w:type="dxa"/>
            <w:left w:w="0" w:type="dxa"/>
            <w:bottom w:w="0" w:type="dxa"/>
            <w:right w:w="0" w:type="dxa"/>
          </w:tblCellMar>
        </w:tblPrEx>
        <w:trPr>
          <w:trHeight w:val="870" w:hRule="atLeast"/>
        </w:trPr>
        <w:tc>
          <w:tcPr>
            <w:tcW w:w="9796" w:type="dxa"/>
            <w:gridSpan w:val="2"/>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b/>
                <w:color w:val="000000" w:themeColor="text1"/>
                <w:sz w:val="32"/>
                <w:szCs w:val="32"/>
              </w:rPr>
            </w:pPr>
            <w:r>
              <w:rPr>
                <w:rFonts w:hint="eastAsia" w:ascii="黑体" w:hAnsi="宋体" w:eastAsia="黑体" w:cs="黑体"/>
                <w:b/>
                <w:color w:val="000000" w:themeColor="text1"/>
                <w:kern w:val="0"/>
                <w:sz w:val="32"/>
                <w:szCs w:val="32"/>
              </w:rPr>
              <w:t>十八、管理学</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努力推进革命老区在治理体系和治理能力现代化上走前列研究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江西构建生态治理体系和生态治理能力现代化的路径研究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江西跨行政区域设立环境资源审判机构研究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江西省资源节约集约循环利用政策体系研究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江西省新型城镇化与生态环境耦合协调发展研究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提升我省重大突发事件综合应急管理能力研究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以大数据和智能决策驱动我省公共卫生重大风险防控治理体系现代化研究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推进我省基层治理能力现代化与防灾（疫）动员体系研究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 xml:space="preserve"> 推动公共卫生服务与医疗服务高效协同研究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打造我省高层次医疗队伍研究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加强疫情后我省消费潜力释放及新消费模式培育研究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基层直接民主制度化、规范化、程序化的研究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新时代党政干部容错纠错机制及其实施效果研究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中部六省承接新兴产业布局和转移的对比研究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城乡基层社会治理共同体建设研究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社区服务供给的多边平台模式与治理机制研究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我省基本公共服务重心下沉到基层的路径研究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完善我省文化和旅游融合发展体制机制研究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19.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VR体验在江西红色革命文化中的应用研究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乡村振兴战略视域下的赣南客家古村落市场化保护模式研究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江西书院文化旅游价值及深度开发研究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江西红色旅游资源保护与利用的协调机制研究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国家试验区视域下陶瓷文化产业结构布局研究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江西培育中医药全产业链集群研究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江西省中医药文化旅游产业发展模式及策略研究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加快发展中医药产业，促进健康江西建设的政策研究</w:t>
            </w:r>
          </w:p>
        </w:tc>
      </w:tr>
      <w:tr>
        <w:tblPrEx>
          <w:tblCellMar>
            <w:top w:w="0" w:type="dxa"/>
            <w:left w:w="0" w:type="dxa"/>
            <w:bottom w:w="0" w:type="dxa"/>
            <w:right w:w="0" w:type="dxa"/>
          </w:tblCellMar>
        </w:tblPrEx>
        <w:trPr>
          <w:trHeight w:val="1240" w:hRule="atLeast"/>
        </w:trPr>
        <w:tc>
          <w:tcPr>
            <w:tcW w:w="510" w:type="dxa"/>
            <w:tcBorders>
              <w:top w:val="nil"/>
              <w:left w:val="nil"/>
              <w:bottom w:val="nil"/>
              <w:right w:val="nil"/>
            </w:tcBorders>
            <w:shd w:val="clear" w:color="auto" w:fill="auto"/>
            <w:noWrap/>
            <w:tcMar>
              <w:top w:w="15" w:type="dxa"/>
              <w:left w:w="15" w:type="dxa"/>
              <w:right w:w="15" w:type="dxa"/>
            </w:tcMa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spacing w:line="500" w:lineRule="exact"/>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加快推进我省新型基础设施建设研究(5G基建、特高压、城际高铁及城际轨道交通、新能源汽车充电桩、大数据中心、人工智能、工业互联网等领域，分专题研究)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江西省区块链产业发展模式及策略研究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29.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“一带一路”背景下江西新能源汽车发展战略研究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30.</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推进乡村产业发展，巩固脱贫攻坚成果研究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31.</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我省100个贫困村产业扶贫模式研究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32.</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乡村电商服务站点的可持续经营问题研究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33.</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我省航空产业高端智库市场培育与实践探索研究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34.</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南昌航空产业集群化发展与构建“核心增长极”的模式研究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35.</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江西省优势产业的文化平台建设体系研究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36.</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江西发展文化产业服务贸易竞争力研究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37.</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加快推进以御窑厂为核心的大遗址整体保护与利用研究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38.</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“双一流”背景下应用型本科院校学科建设战略研究</w:t>
            </w:r>
          </w:p>
        </w:tc>
      </w:tr>
      <w:tr>
        <w:tblPrEx>
          <w:tblCellMar>
            <w:top w:w="0" w:type="dxa"/>
            <w:left w:w="0" w:type="dxa"/>
            <w:bottom w:w="0" w:type="dxa"/>
            <w:right w:w="0" w:type="dxa"/>
          </w:tblCellMar>
        </w:tblPrEx>
        <w:trPr>
          <w:trHeight w:val="48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39.</w:t>
            </w:r>
          </w:p>
        </w:tc>
        <w:tc>
          <w:tcPr>
            <w:tcW w:w="9286" w:type="dxa"/>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江西省物流枢纽城市跨境电商协同发展机制研究</w:t>
            </w:r>
          </w:p>
        </w:tc>
      </w:tr>
    </w:tbl>
    <w:p>
      <w:pPr>
        <w:rPr>
          <w:rFonts w:ascii="黑体" w:hAnsi="黑体" w:eastAsia="黑体" w:cs="黑体"/>
          <w:color w:val="000000" w:themeColor="text1"/>
          <w:sz w:val="32"/>
          <w:szCs w:val="32"/>
        </w:rPr>
      </w:pPr>
    </w:p>
    <w:p>
      <w:pPr>
        <w:widowControl/>
        <w:jc w:val="left"/>
        <w:rPr>
          <w:rFonts w:ascii="黑体" w:hAnsi="黑体" w:eastAsia="黑体" w:cs="黑体"/>
          <w:color w:val="000000" w:themeColor="text1"/>
          <w:sz w:val="32"/>
          <w:szCs w:val="32"/>
        </w:rPr>
      </w:pPr>
      <w:r>
        <w:rPr>
          <w:rFonts w:ascii="黑体" w:hAnsi="黑体" w:eastAsia="黑体" w:cs="黑体"/>
          <w:color w:val="000000" w:themeColor="text1"/>
          <w:sz w:val="32"/>
          <w:szCs w:val="32"/>
        </w:rPr>
        <w:br w:type="page"/>
      </w:r>
    </w:p>
    <w:p>
      <w:pPr>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附件2</w:t>
      </w:r>
    </w:p>
    <w:p>
      <w:pPr>
        <w:spacing w:line="700" w:lineRule="exact"/>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关于2020年省社科基金项目实行</w:t>
      </w:r>
    </w:p>
    <w:p>
      <w:pPr>
        <w:spacing w:line="700" w:lineRule="exact"/>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限额申报的说明</w:t>
      </w:r>
    </w:p>
    <w:p>
      <w:pPr>
        <w:rPr>
          <w:rFonts w:ascii="仿宋_GB2312" w:hAnsi="仿宋_GB2312" w:eastAsia="仿宋_GB2312" w:cs="仿宋_GB2312"/>
          <w:color w:val="000000" w:themeColor="text1"/>
          <w:sz w:val="32"/>
          <w:szCs w:val="32"/>
        </w:rPr>
      </w:pP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针对2018</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2019年省社科基金项目申报数量增长快速（均超过2000项），而申报质量不佳的情况，为提高申报质量，减少同类项目申报，我办决定从2020年起，参照国家社科基金年度项目申报办法，实行限额申报（限额1500项），限额指标另行下达至各单位,限额指标制定说明如下:</w:t>
      </w:r>
    </w:p>
    <w:p>
      <w:pPr>
        <w:spacing w:line="54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一、基本原则</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1.质量至上。主要根据各单位申报数及立项情况制定限额指标数，对申报质量不高、立项率低的单位，从严控制申报数量。</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2.奖惩结合。对于近两年有国家社科基金项目撤项、中止及省社科基金项目未在清理期限内完成的单位，减少指标数；对于近两年国家社科基金项目及省社科基金项目结项优秀率高的单位，增加指标数。</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3.统筹兼顾。适当考虑单位、地区的平衡，对于平均申报数在10项以下的单位，暂不下达限额指标。</w:t>
      </w:r>
    </w:p>
    <w:p>
      <w:pPr>
        <w:spacing w:line="540" w:lineRule="exact"/>
        <w:ind w:firstLine="640" w:firstLineChars="200"/>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二、制定方法</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1.计算公式</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各单位限额指标=平均申报数*限额指标系数</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限额指标系数=1500/总计平均申报数</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(2018年至2019年我省社科基金项目总计平均申报数为2330，故限额指标系数为0.64）</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平均立项率=平均立项数/平均申报数</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(2018年至2019年我省社科基金项目总计平均立项数为356，故平均立项率为15.3%）</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2.因各单位立项率相差较大，故各单位限额指标系数应有差别。</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①立项率&gt;15.3%，限额指标系数提高至0.7</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②10%</w:t>
      </w:r>
      <w:r>
        <w:rPr>
          <w:rFonts w:hint="eastAsia" w:ascii="宋体" w:hAnsi="宋体" w:cs="宋体"/>
          <w:color w:val="000000" w:themeColor="text1"/>
          <w:sz w:val="32"/>
          <w:szCs w:val="32"/>
        </w:rPr>
        <w:t>≦</w:t>
      </w:r>
      <w:r>
        <w:rPr>
          <w:rFonts w:hint="eastAsia" w:ascii="仿宋_GB2312" w:hAnsi="仿宋_GB2312" w:eastAsia="仿宋_GB2312" w:cs="仿宋_GB2312"/>
          <w:color w:val="000000" w:themeColor="text1"/>
          <w:sz w:val="32"/>
          <w:szCs w:val="32"/>
        </w:rPr>
        <w:t>立项率</w:t>
      </w:r>
      <w:r>
        <w:rPr>
          <w:rFonts w:hint="eastAsia" w:ascii="宋体" w:hAnsi="宋体" w:cs="宋体"/>
          <w:color w:val="000000" w:themeColor="text1"/>
          <w:sz w:val="32"/>
          <w:szCs w:val="32"/>
        </w:rPr>
        <w:t>≦</w:t>
      </w:r>
      <w:r>
        <w:rPr>
          <w:rFonts w:hint="eastAsia" w:ascii="仿宋_GB2312" w:hAnsi="仿宋_GB2312" w:eastAsia="仿宋_GB2312" w:cs="仿宋_GB2312"/>
          <w:color w:val="000000" w:themeColor="text1"/>
          <w:sz w:val="32"/>
          <w:szCs w:val="32"/>
        </w:rPr>
        <w:t>15.3，限额指标系数降至0.6</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③5%</w:t>
      </w:r>
      <w:r>
        <w:rPr>
          <w:rFonts w:hint="eastAsia" w:ascii="宋体" w:hAnsi="宋体" w:cs="宋体"/>
          <w:color w:val="000000" w:themeColor="text1"/>
          <w:sz w:val="32"/>
          <w:szCs w:val="32"/>
        </w:rPr>
        <w:t>≦</w:t>
      </w:r>
      <w:r>
        <w:rPr>
          <w:rFonts w:hint="eastAsia" w:ascii="仿宋_GB2312" w:hAnsi="仿宋_GB2312" w:eastAsia="仿宋_GB2312" w:cs="仿宋_GB2312"/>
          <w:color w:val="000000" w:themeColor="text1"/>
          <w:sz w:val="32"/>
          <w:szCs w:val="32"/>
        </w:rPr>
        <w:t>立项率&lt;10%,限额指标系数降至0.5</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④立项率&lt;5%，限额指标系数降至0.4</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3.奖惩措施</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按国家社科基金项目及省社科基金项目管理规定，2018年清理2012年</w:t>
      </w:r>
      <w:r>
        <w:rPr>
          <w:rFonts w:hint="eastAsia" w:ascii="仿宋_GB2312" w:hAnsi="仿宋_GB2312" w:eastAsia="仿宋_GB2312" w:cs="仿宋_GB2312"/>
          <w:color w:val="000000" w:themeColor="text1"/>
          <w:sz w:val="32"/>
          <w:szCs w:val="32"/>
          <w:lang w:eastAsia="zh-CN"/>
        </w:rPr>
        <w:t>立项且</w:t>
      </w:r>
      <w:r>
        <w:rPr>
          <w:rFonts w:hint="eastAsia" w:ascii="仿宋_GB2312" w:hAnsi="仿宋_GB2312" w:eastAsia="仿宋_GB2312" w:cs="仿宋_GB2312"/>
          <w:color w:val="000000" w:themeColor="text1"/>
          <w:sz w:val="32"/>
          <w:szCs w:val="32"/>
        </w:rPr>
        <w:t>未完成</w:t>
      </w:r>
      <w:r>
        <w:rPr>
          <w:rFonts w:hint="eastAsia" w:ascii="仿宋_GB2312" w:hAnsi="仿宋_GB2312" w:eastAsia="仿宋_GB2312" w:cs="仿宋_GB2312"/>
          <w:color w:val="000000" w:themeColor="text1"/>
          <w:sz w:val="32"/>
          <w:szCs w:val="32"/>
          <w:lang w:val="en-US" w:eastAsia="zh-CN"/>
        </w:rPr>
        <w:t>的</w:t>
      </w:r>
      <w:r>
        <w:rPr>
          <w:rFonts w:hint="eastAsia" w:ascii="仿宋_GB2312" w:hAnsi="仿宋_GB2312" w:eastAsia="仿宋_GB2312" w:cs="仿宋_GB2312"/>
          <w:color w:val="000000" w:themeColor="text1"/>
          <w:sz w:val="32"/>
          <w:szCs w:val="32"/>
        </w:rPr>
        <w:t>项目，2019年清理2013年</w:t>
      </w:r>
      <w:r>
        <w:rPr>
          <w:rFonts w:hint="eastAsia" w:ascii="仿宋_GB2312" w:hAnsi="仿宋_GB2312" w:eastAsia="仿宋_GB2312" w:cs="仿宋_GB2312"/>
          <w:color w:val="000000" w:themeColor="text1"/>
          <w:sz w:val="32"/>
          <w:szCs w:val="32"/>
          <w:lang w:eastAsia="zh-CN"/>
        </w:rPr>
        <w:t>立项且</w:t>
      </w:r>
      <w:r>
        <w:rPr>
          <w:rFonts w:hint="eastAsia" w:ascii="仿宋_GB2312" w:hAnsi="仿宋_GB2312" w:eastAsia="仿宋_GB2312" w:cs="仿宋_GB2312"/>
          <w:color w:val="000000" w:themeColor="text1"/>
          <w:sz w:val="32"/>
          <w:szCs w:val="32"/>
        </w:rPr>
        <w:t>未完成</w:t>
      </w:r>
      <w:r>
        <w:rPr>
          <w:rFonts w:hint="eastAsia" w:ascii="仿宋_GB2312" w:hAnsi="仿宋_GB2312" w:eastAsia="仿宋_GB2312" w:cs="仿宋_GB2312"/>
          <w:color w:val="000000" w:themeColor="text1"/>
          <w:sz w:val="32"/>
          <w:szCs w:val="32"/>
          <w:lang w:eastAsia="zh-CN"/>
        </w:rPr>
        <w:t>的</w:t>
      </w:r>
      <w:r>
        <w:rPr>
          <w:rFonts w:hint="eastAsia" w:ascii="仿宋_GB2312" w:hAnsi="仿宋_GB2312" w:eastAsia="仿宋_GB2312" w:cs="仿宋_GB2312"/>
          <w:color w:val="000000" w:themeColor="text1"/>
          <w:sz w:val="32"/>
          <w:szCs w:val="32"/>
        </w:rPr>
        <w:t>项目，根据各单位项目未完成情况及近两年获得结项优秀情况制定奖惩标准。</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①针对国家社科基金项目</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结项优秀：指标增加5个/项</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未完成率</w:t>
      </w:r>
      <w:r>
        <w:rPr>
          <w:rFonts w:hint="eastAsia" w:ascii="宋体" w:hAnsi="宋体" w:cs="宋体"/>
          <w:color w:val="000000" w:themeColor="text1"/>
          <w:sz w:val="32"/>
          <w:szCs w:val="32"/>
        </w:rPr>
        <w:t>≦</w:t>
      </w:r>
      <w:r>
        <w:rPr>
          <w:rFonts w:hint="eastAsia" w:ascii="仿宋_GB2312" w:hAnsi="仿宋_GB2312" w:eastAsia="仿宋_GB2312" w:cs="仿宋_GB2312"/>
          <w:color w:val="000000" w:themeColor="text1"/>
          <w:sz w:val="32"/>
          <w:szCs w:val="32"/>
        </w:rPr>
        <w:t>30%,指标减少3个/项</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30%&lt;未完成率</w:t>
      </w:r>
      <w:r>
        <w:rPr>
          <w:rFonts w:hint="eastAsia" w:ascii="宋体" w:hAnsi="宋体" w:cs="宋体"/>
          <w:color w:val="000000" w:themeColor="text1"/>
          <w:sz w:val="32"/>
          <w:szCs w:val="32"/>
        </w:rPr>
        <w:t>≦</w:t>
      </w:r>
      <w:r>
        <w:rPr>
          <w:rFonts w:hint="eastAsia" w:ascii="仿宋_GB2312" w:hAnsi="仿宋_GB2312" w:eastAsia="仿宋_GB2312" w:cs="仿宋_GB2312"/>
          <w:color w:val="000000" w:themeColor="text1"/>
          <w:sz w:val="32"/>
          <w:szCs w:val="32"/>
        </w:rPr>
        <w:t>60%，指标减少4个/项</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60%&lt;未完成率</w:t>
      </w:r>
      <w:r>
        <w:rPr>
          <w:rFonts w:hint="eastAsia" w:ascii="宋体" w:hAnsi="宋体" w:cs="宋体"/>
          <w:color w:val="000000" w:themeColor="text1"/>
          <w:sz w:val="32"/>
          <w:szCs w:val="32"/>
        </w:rPr>
        <w:t>≦</w:t>
      </w:r>
      <w:r>
        <w:rPr>
          <w:rFonts w:hint="eastAsia" w:ascii="仿宋_GB2312" w:hAnsi="仿宋_GB2312" w:eastAsia="仿宋_GB2312" w:cs="仿宋_GB2312"/>
          <w:color w:val="000000" w:themeColor="text1"/>
          <w:sz w:val="32"/>
          <w:szCs w:val="32"/>
        </w:rPr>
        <w:t>100%，指标减少5个/项</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②针对省社科基金项目</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结项优秀：指标增加2个/项</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未完成率</w:t>
      </w:r>
      <w:r>
        <w:rPr>
          <w:rFonts w:hint="eastAsia" w:ascii="宋体" w:hAnsi="宋体" w:cs="宋体"/>
          <w:color w:val="000000" w:themeColor="text1"/>
          <w:sz w:val="32"/>
          <w:szCs w:val="32"/>
        </w:rPr>
        <w:t>≦</w:t>
      </w:r>
      <w:r>
        <w:rPr>
          <w:rFonts w:hint="eastAsia" w:ascii="仿宋_GB2312" w:hAnsi="仿宋_GB2312" w:eastAsia="仿宋_GB2312" w:cs="仿宋_GB2312"/>
          <w:color w:val="000000" w:themeColor="text1"/>
          <w:sz w:val="32"/>
          <w:szCs w:val="32"/>
        </w:rPr>
        <w:t>30%,指标减少1个/项</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30%&lt;未完成率</w:t>
      </w:r>
      <w:r>
        <w:rPr>
          <w:rFonts w:hint="eastAsia" w:ascii="宋体" w:hAnsi="宋体" w:cs="宋体"/>
          <w:color w:val="000000" w:themeColor="text1"/>
          <w:sz w:val="32"/>
          <w:szCs w:val="32"/>
        </w:rPr>
        <w:t>≦</w:t>
      </w:r>
      <w:r>
        <w:rPr>
          <w:rFonts w:hint="eastAsia" w:ascii="仿宋_GB2312" w:hAnsi="仿宋_GB2312" w:eastAsia="仿宋_GB2312" w:cs="仿宋_GB2312"/>
          <w:color w:val="000000" w:themeColor="text1"/>
          <w:sz w:val="32"/>
          <w:szCs w:val="32"/>
        </w:rPr>
        <w:t>60%，指标减少2个/项</w:t>
      </w:r>
    </w:p>
    <w:p>
      <w:pPr>
        <w:spacing w:line="54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60%&lt;未完成率</w:t>
      </w:r>
      <w:r>
        <w:rPr>
          <w:rFonts w:hint="eastAsia" w:ascii="宋体" w:hAnsi="宋体" w:cs="宋体"/>
          <w:color w:val="000000" w:themeColor="text1"/>
          <w:sz w:val="32"/>
          <w:szCs w:val="32"/>
        </w:rPr>
        <w:t>≦</w:t>
      </w:r>
      <w:r>
        <w:rPr>
          <w:rFonts w:hint="eastAsia" w:ascii="仿宋_GB2312" w:hAnsi="仿宋_GB2312" w:eastAsia="仿宋_GB2312" w:cs="仿宋_GB2312"/>
          <w:color w:val="000000" w:themeColor="text1"/>
          <w:sz w:val="32"/>
          <w:szCs w:val="32"/>
        </w:rPr>
        <w:t>100%，指标减少3个/项</w:t>
      </w:r>
    </w:p>
    <w:p>
      <w:pPr>
        <w:spacing w:line="540" w:lineRule="exact"/>
        <w:ind w:firstLine="640" w:firstLineChars="200"/>
        <w:rPr>
          <w:rFonts w:ascii="仿宋_GB2312" w:hAnsi="仿宋_GB2312" w:eastAsia="仿宋_GB2312" w:cs="仿宋_GB2312"/>
          <w:color w:val="000000" w:themeColor="text1"/>
          <w:sz w:val="32"/>
          <w:szCs w:val="32"/>
        </w:rPr>
      </w:pPr>
    </w:p>
    <w:p>
      <w:pPr>
        <w:spacing w:line="540" w:lineRule="exact"/>
        <w:jc w:val="center"/>
        <w:rPr>
          <w:rFonts w:ascii="仿宋_GB2312" w:hAnsi="仿宋_GB2312" w:eastAsia="仿宋_GB2312" w:cs="仿宋_GB2312"/>
          <w:color w:val="000000" w:themeColor="text1"/>
          <w:sz w:val="32"/>
          <w:szCs w:val="32"/>
        </w:rPr>
      </w:pPr>
    </w:p>
    <w:p>
      <w:pPr>
        <w:rPr>
          <w:color w:val="000000" w:themeColor="text1"/>
          <w:sz w:val="32"/>
          <w:szCs w:val="32"/>
        </w:rPr>
      </w:pPr>
    </w:p>
    <w:p>
      <w:pPr>
        <w:rPr>
          <w:color w:val="000000" w:themeColor="text1"/>
          <w:sz w:val="32"/>
          <w:szCs w:val="32"/>
        </w:rPr>
      </w:pPr>
    </w:p>
    <w:p>
      <w:pPr>
        <w:rPr>
          <w:color w:val="000000" w:themeColor="text1"/>
          <w:sz w:val="32"/>
          <w:szCs w:val="32"/>
        </w:rPr>
      </w:pPr>
    </w:p>
    <w:p>
      <w:pPr>
        <w:rPr>
          <w:color w:val="000000" w:themeColor="text1"/>
          <w:sz w:val="32"/>
          <w:szCs w:val="32"/>
        </w:rPr>
      </w:pPr>
    </w:p>
    <w:p>
      <w:pPr>
        <w:rPr>
          <w:color w:val="000000" w:themeColor="text1"/>
          <w:sz w:val="32"/>
          <w:szCs w:val="32"/>
        </w:rPr>
      </w:pPr>
    </w:p>
    <w:p>
      <w:pPr>
        <w:rPr>
          <w:color w:val="000000" w:themeColor="text1"/>
          <w:sz w:val="32"/>
          <w:szCs w:val="32"/>
        </w:rPr>
      </w:pPr>
    </w:p>
    <w:p>
      <w:pPr>
        <w:rPr>
          <w:color w:val="000000" w:themeColor="text1"/>
          <w:sz w:val="32"/>
          <w:szCs w:val="32"/>
        </w:rPr>
      </w:pPr>
    </w:p>
    <w:p>
      <w:pPr>
        <w:rPr>
          <w:color w:val="000000" w:themeColor="text1"/>
          <w:sz w:val="32"/>
          <w:szCs w:val="32"/>
        </w:rPr>
      </w:pPr>
    </w:p>
    <w:p>
      <w:pPr>
        <w:rPr>
          <w:color w:val="000000" w:themeColor="text1"/>
          <w:sz w:val="32"/>
          <w:szCs w:val="32"/>
        </w:rPr>
      </w:pPr>
    </w:p>
    <w:p>
      <w:pPr>
        <w:rPr>
          <w:color w:val="000000" w:themeColor="text1"/>
          <w:sz w:val="32"/>
          <w:szCs w:val="3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widowControl/>
        <w:shd w:val="clear" w:color="auto" w:fill="FFFFFF"/>
        <w:spacing w:line="540" w:lineRule="exact"/>
        <w:jc w:val="center"/>
        <w:rPr>
          <w:rFonts w:ascii="仿宋_GB2312" w:hAnsi="宋体" w:eastAsia="仿宋_GB2312" w:cs="宋体"/>
          <w:color w:val="000000" w:themeColor="text1"/>
          <w:kern w:val="0"/>
          <w:sz w:val="28"/>
          <w:szCs w:val="28"/>
        </w:rPr>
      </w:pPr>
    </w:p>
    <w:p>
      <w:pPr>
        <w:spacing w:line="480" w:lineRule="exact"/>
        <w:ind w:left="1902" w:leftChars="144" w:hanging="1600" w:hangingChars="500"/>
        <w:rPr>
          <w:rFonts w:ascii="仿宋_GB2312" w:hAnsi="宋体" w:eastAsia="仿宋_GB2312"/>
          <w:color w:val="000000" w:themeColor="text1"/>
          <w:sz w:val="32"/>
          <w:szCs w:val="32"/>
        </w:rPr>
      </w:pPr>
      <w:r>
        <w:rPr>
          <w:color w:val="000000" w:themeColor="text1"/>
          <w:sz w:val="32"/>
          <w:szCs w:val="32"/>
        </w:rPr>
        <w:pict>
          <v:line id="_x0000_s1029" o:spid="_x0000_s1029" o:spt="20" style="position:absolute;left:0pt;margin-left:0pt;margin-top:3.35pt;height:0pt;width:441pt;z-index:251670528;mso-width-relative:page;mso-height-relative:page;" coordsize="21600,21600" o:gfxdata="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rP/YN0wAAAAQBAAAPAAAAAAAAAAEA&#10;IAAAACIAAABkcnMvZG93bnJldi54bWxQSwECFAAUAAAACACHTuJAahlaLtsBAACXAwAADgAAAAAA&#10;AAABACAAAAAiAQAAZHJzL2Uyb0RvYy54bWxQSwUGAAAAAAYABgBZAQAAbwUAAAAA&#10;">
            <v:path arrowok="t"/>
            <v:fill focussize="0,0"/>
            <v:stroke weight="1.25pt"/>
            <v:imagedata o:title=""/>
            <o:lock v:ext="edit"/>
          </v:line>
        </w:pict>
      </w:r>
      <w:r>
        <w:rPr>
          <w:rFonts w:hint="eastAsia" w:ascii="仿宋_GB2312" w:hAnsi="宋体" w:eastAsia="仿宋_GB2312"/>
          <w:color w:val="000000" w:themeColor="text1"/>
          <w:sz w:val="32"/>
          <w:szCs w:val="32"/>
        </w:rPr>
        <w:t>抄送：省委宣传部</w:t>
      </w:r>
      <w:r>
        <w:rPr>
          <w:rFonts w:hint="eastAsia" w:ascii="仿宋_GB2312" w:hAnsi="宋体" w:eastAsia="仿宋_GB2312"/>
          <w:color w:val="000000" w:themeColor="text1"/>
          <w:sz w:val="32"/>
          <w:szCs w:val="32"/>
          <w:lang w:eastAsia="zh-CN"/>
        </w:rPr>
        <w:t>，省财政厅，省审计厅</w:t>
      </w:r>
      <w:r>
        <w:rPr>
          <w:rFonts w:hint="eastAsia" w:ascii="仿宋_GB2312" w:hAnsi="宋体" w:eastAsia="仿宋_GB2312"/>
          <w:color w:val="000000" w:themeColor="text1"/>
          <w:sz w:val="32"/>
          <w:szCs w:val="32"/>
        </w:rPr>
        <w:t>。</w:t>
      </w:r>
    </w:p>
    <w:p>
      <w:pPr>
        <w:spacing w:line="480" w:lineRule="exact"/>
        <w:ind w:right="-153" w:rightChars="-73" w:firstLine="292" w:firstLineChars="100"/>
        <w:rPr>
          <w:color w:val="000000" w:themeColor="text1"/>
          <w:kern w:val="0"/>
          <w:sz w:val="32"/>
          <w:szCs w:val="32"/>
        </w:rPr>
      </w:pPr>
      <w:r>
        <w:rPr>
          <w:rFonts w:ascii="黑体" w:hAnsi="仿宋_GB2312" w:eastAsia="黑体" w:cs="仿宋_GB2312"/>
          <w:color w:val="000000" w:themeColor="text1"/>
          <w:spacing w:val="-14"/>
          <w:sz w:val="32"/>
          <w:szCs w:val="32"/>
        </w:rPr>
        <w:pict>
          <v:line id="_x0000_s1028" o:spid="_x0000_s1028" o:spt="20" style="position:absolute;left:0pt;margin-left:0pt;margin-top:26.15pt;height:0pt;width:441pt;z-index:251668480;mso-width-relative:page;mso-height-relative:page;" coordsize="21600,21600" o:gfxdata="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KrxUu1QAAAAYBAAAPAAAAAAAA&#10;AAEAIAAAACIAAABkcnMvZG93bnJldi54bWxQSwECFAAUAAAACACHTuJAi/w1cdwBAACXAwAADgAA&#10;AAAAAAABACAAAAAkAQAAZHJzL2Uyb0RvYy54bWxQSwUGAAAAAAYABgBZAQAAcgUAAAAA&#10;">
            <v:path arrowok="t"/>
            <v:fill focussize="0,0"/>
            <v:stroke weight="1.25pt"/>
            <v:imagedata o:title=""/>
            <o:lock v:ext="edit"/>
          </v:line>
        </w:pict>
      </w:r>
      <w:r>
        <w:rPr>
          <w:rFonts w:ascii="仿宋_GB2312" w:eastAsia="仿宋_GB2312"/>
          <w:color w:val="000000" w:themeColor="text1"/>
          <w:sz w:val="32"/>
          <w:szCs w:val="32"/>
        </w:rPr>
        <w:pict>
          <v:line id="_x0000_s1027" o:spid="_x0000_s1027" o:spt="20" style="position:absolute;left:0pt;margin-left:0pt;margin-top:2.75pt;height:0pt;width:441pt;z-index:251669504;mso-width-relative:page;mso-height-relative:page;" coordsize="21600,21600" o:gfxdata="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sTh9K0gAAAAQBAAAPAAAAAAAAAAEA&#10;IAAAACIAAABkcnMvZG93bnJldi54bWxQSwECFAAUAAAACACHTuJAuHo36NwBAACYAwAADgAAAAAA&#10;AAABACAAAAAhAQAAZHJzL2Uyb0RvYy54bWxQSwUGAAAAAAYABgBZAQAAbwUAAAAA&#10;">
            <v:path arrowok="t"/>
            <v:fill focussize="0,0"/>
            <v:stroke/>
            <v:imagedata o:title=""/>
            <o:lock v:ext="edit"/>
          </v:line>
        </w:pict>
      </w:r>
      <w:r>
        <w:rPr>
          <w:rFonts w:hint="eastAsia" w:ascii="仿宋_GB2312" w:eastAsia="仿宋_GB2312"/>
          <w:color w:val="000000" w:themeColor="text1"/>
          <w:sz w:val="32"/>
          <w:szCs w:val="32"/>
        </w:rPr>
        <w:t>江西省社科规划办                 2020年3月31日印发</w:t>
      </w:r>
    </w:p>
    <w:p>
      <w:pPr>
        <w:rPr>
          <w:color w:val="000000" w:themeColor="text1"/>
        </w:rPr>
      </w:pPr>
    </w:p>
    <w:sectPr>
      <w:footerReference r:id="rId3" w:type="default"/>
      <w:footerReference r:id="rId4" w:type="even"/>
      <w:pgSz w:w="11906" w:h="16838"/>
      <w:pgMar w:top="1440" w:right="1588" w:bottom="1440"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63321"/>
      <w:docPartObj>
        <w:docPartGallery w:val="autotext"/>
      </w:docPartObj>
    </w:sdtPr>
    <w:sdtContent>
      <w:p>
        <w:pPr>
          <w:pStyle w:val="4"/>
          <w:jc w:val="right"/>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27 -</w:t>
        </w:r>
        <w:r>
          <w:rPr>
            <w:rFonts w:asciiTheme="minorEastAsia" w:hAnsiTheme="minorEastAsia" w:eastAsia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63317"/>
      <w:docPartObj>
        <w:docPartGallery w:val="autotext"/>
      </w:docPartObj>
    </w:sdtPr>
    <w:sdtContent>
      <w:p>
        <w:pPr>
          <w:pStyle w:val="4"/>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26 -</w:t>
        </w:r>
        <w:r>
          <w:rPr>
            <w:rFonts w:asciiTheme="minorEastAsia" w:hAnsiTheme="minorEastAsia" w:eastAsiaTheme="minorEastAsia"/>
            <w:sz w:val="28"/>
            <w:szCs w:val="28"/>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8CEDB5"/>
    <w:multiLevelType w:val="singleLevel"/>
    <w:tmpl w:val="7C8CEDB5"/>
    <w:lvl w:ilvl="0" w:tentative="0">
      <w:start w:val="5"/>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7DD2A93"/>
    <w:rsid w:val="00004AB7"/>
    <w:rsid w:val="00543264"/>
    <w:rsid w:val="005646FE"/>
    <w:rsid w:val="006D10EC"/>
    <w:rsid w:val="0085007A"/>
    <w:rsid w:val="0098780B"/>
    <w:rsid w:val="00995F64"/>
    <w:rsid w:val="00C40469"/>
    <w:rsid w:val="00DB2FC1"/>
    <w:rsid w:val="00E7070C"/>
    <w:rsid w:val="00FB5BDB"/>
    <w:rsid w:val="02846C43"/>
    <w:rsid w:val="02AD30A9"/>
    <w:rsid w:val="02C34895"/>
    <w:rsid w:val="03436388"/>
    <w:rsid w:val="03DE17FF"/>
    <w:rsid w:val="05EF5A3C"/>
    <w:rsid w:val="06201626"/>
    <w:rsid w:val="06C60C9D"/>
    <w:rsid w:val="08AC15C8"/>
    <w:rsid w:val="08AC1F5A"/>
    <w:rsid w:val="0AC10399"/>
    <w:rsid w:val="0BB87787"/>
    <w:rsid w:val="0CC31A58"/>
    <w:rsid w:val="0CC51675"/>
    <w:rsid w:val="0D036CA6"/>
    <w:rsid w:val="0E6A1D78"/>
    <w:rsid w:val="0F3F62CC"/>
    <w:rsid w:val="0FE912A2"/>
    <w:rsid w:val="10775ACB"/>
    <w:rsid w:val="11DB2EDF"/>
    <w:rsid w:val="12C41AEB"/>
    <w:rsid w:val="141A53F2"/>
    <w:rsid w:val="147E796F"/>
    <w:rsid w:val="15054494"/>
    <w:rsid w:val="15B03B14"/>
    <w:rsid w:val="15B9390F"/>
    <w:rsid w:val="15FE4857"/>
    <w:rsid w:val="165313E3"/>
    <w:rsid w:val="16741E3E"/>
    <w:rsid w:val="16E41554"/>
    <w:rsid w:val="17F509FE"/>
    <w:rsid w:val="183F2054"/>
    <w:rsid w:val="19B80D49"/>
    <w:rsid w:val="1A2B38FF"/>
    <w:rsid w:val="1A9C5855"/>
    <w:rsid w:val="1B395E00"/>
    <w:rsid w:val="1B447851"/>
    <w:rsid w:val="1B5F4D04"/>
    <w:rsid w:val="1C9F7FB6"/>
    <w:rsid w:val="1DE122DC"/>
    <w:rsid w:val="1ED72CAF"/>
    <w:rsid w:val="1F0178E7"/>
    <w:rsid w:val="1F9E665A"/>
    <w:rsid w:val="1FD24062"/>
    <w:rsid w:val="20A87F1E"/>
    <w:rsid w:val="219D5A80"/>
    <w:rsid w:val="22AC7007"/>
    <w:rsid w:val="22C4112B"/>
    <w:rsid w:val="236A510C"/>
    <w:rsid w:val="23DF5909"/>
    <w:rsid w:val="24AB2970"/>
    <w:rsid w:val="25EA3606"/>
    <w:rsid w:val="260D0D21"/>
    <w:rsid w:val="274916C5"/>
    <w:rsid w:val="27C951F9"/>
    <w:rsid w:val="28C01332"/>
    <w:rsid w:val="29D47BAA"/>
    <w:rsid w:val="2A08479C"/>
    <w:rsid w:val="2A31514E"/>
    <w:rsid w:val="2AD96FFC"/>
    <w:rsid w:val="2D461CE8"/>
    <w:rsid w:val="2E89784B"/>
    <w:rsid w:val="2FDC6422"/>
    <w:rsid w:val="305470DA"/>
    <w:rsid w:val="305C19C4"/>
    <w:rsid w:val="30682F41"/>
    <w:rsid w:val="31E13899"/>
    <w:rsid w:val="32282AA9"/>
    <w:rsid w:val="333A0A81"/>
    <w:rsid w:val="340170F1"/>
    <w:rsid w:val="347D5574"/>
    <w:rsid w:val="348F45D0"/>
    <w:rsid w:val="34C72517"/>
    <w:rsid w:val="369220EC"/>
    <w:rsid w:val="37DA21DB"/>
    <w:rsid w:val="385B2B5A"/>
    <w:rsid w:val="388F4858"/>
    <w:rsid w:val="3F595AC2"/>
    <w:rsid w:val="3F7B44F0"/>
    <w:rsid w:val="3FD35D5C"/>
    <w:rsid w:val="41C058AC"/>
    <w:rsid w:val="42DF7C56"/>
    <w:rsid w:val="433C53C4"/>
    <w:rsid w:val="43B32923"/>
    <w:rsid w:val="43C442AD"/>
    <w:rsid w:val="43CB1B64"/>
    <w:rsid w:val="440329A7"/>
    <w:rsid w:val="44832E67"/>
    <w:rsid w:val="44B578C7"/>
    <w:rsid w:val="45496B08"/>
    <w:rsid w:val="45B07E44"/>
    <w:rsid w:val="462C0133"/>
    <w:rsid w:val="4634756E"/>
    <w:rsid w:val="47002BB4"/>
    <w:rsid w:val="4A221366"/>
    <w:rsid w:val="4BB265C9"/>
    <w:rsid w:val="4BF37618"/>
    <w:rsid w:val="4C5D160E"/>
    <w:rsid w:val="4CAA50DF"/>
    <w:rsid w:val="4CF502A5"/>
    <w:rsid w:val="4D1E75CD"/>
    <w:rsid w:val="4D941422"/>
    <w:rsid w:val="4F8021C7"/>
    <w:rsid w:val="515F6B1C"/>
    <w:rsid w:val="51D85DA2"/>
    <w:rsid w:val="51E671DC"/>
    <w:rsid w:val="521344EC"/>
    <w:rsid w:val="52233DC3"/>
    <w:rsid w:val="523A79F9"/>
    <w:rsid w:val="53732982"/>
    <w:rsid w:val="53A528E9"/>
    <w:rsid w:val="53F94592"/>
    <w:rsid w:val="55E70E00"/>
    <w:rsid w:val="56893411"/>
    <w:rsid w:val="569D4469"/>
    <w:rsid w:val="56DD1CF3"/>
    <w:rsid w:val="56F41A5D"/>
    <w:rsid w:val="56FB45A6"/>
    <w:rsid w:val="57405B16"/>
    <w:rsid w:val="58117894"/>
    <w:rsid w:val="584531EC"/>
    <w:rsid w:val="5A26346C"/>
    <w:rsid w:val="5AA80783"/>
    <w:rsid w:val="5B1C6282"/>
    <w:rsid w:val="5B355F68"/>
    <w:rsid w:val="5BAE76C5"/>
    <w:rsid w:val="5BFA17CE"/>
    <w:rsid w:val="5D5C50B7"/>
    <w:rsid w:val="5D66792F"/>
    <w:rsid w:val="5D9326AA"/>
    <w:rsid w:val="5DC01161"/>
    <w:rsid w:val="5DCC1168"/>
    <w:rsid w:val="5DD5196F"/>
    <w:rsid w:val="5E73335E"/>
    <w:rsid w:val="5F6F053B"/>
    <w:rsid w:val="60101693"/>
    <w:rsid w:val="610274AB"/>
    <w:rsid w:val="615911BD"/>
    <w:rsid w:val="64D83CBE"/>
    <w:rsid w:val="669D3472"/>
    <w:rsid w:val="66F34604"/>
    <w:rsid w:val="67755986"/>
    <w:rsid w:val="67DD2A93"/>
    <w:rsid w:val="67E31AB9"/>
    <w:rsid w:val="681D2359"/>
    <w:rsid w:val="69685A7F"/>
    <w:rsid w:val="69BB611C"/>
    <w:rsid w:val="6A6E0F27"/>
    <w:rsid w:val="6B6157D4"/>
    <w:rsid w:val="6C905366"/>
    <w:rsid w:val="6E066622"/>
    <w:rsid w:val="6E366262"/>
    <w:rsid w:val="6E60773A"/>
    <w:rsid w:val="6E9711D2"/>
    <w:rsid w:val="706C3F6F"/>
    <w:rsid w:val="70E866EF"/>
    <w:rsid w:val="7151146B"/>
    <w:rsid w:val="71B13AE5"/>
    <w:rsid w:val="721627C8"/>
    <w:rsid w:val="7221718B"/>
    <w:rsid w:val="723D701F"/>
    <w:rsid w:val="735411AD"/>
    <w:rsid w:val="73D83B42"/>
    <w:rsid w:val="754F1F5E"/>
    <w:rsid w:val="75BD27D2"/>
    <w:rsid w:val="76177389"/>
    <w:rsid w:val="78F13FEA"/>
    <w:rsid w:val="79796296"/>
    <w:rsid w:val="7994189D"/>
    <w:rsid w:val="7C03027E"/>
    <w:rsid w:val="7DD04095"/>
    <w:rsid w:val="7ED61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5"/>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39"/>
  </w:style>
  <w:style w:type="paragraph" w:styleId="7">
    <w:name w:val="toc 2"/>
    <w:basedOn w:val="1"/>
    <w:next w:val="1"/>
    <w:qFormat/>
    <w:uiPriority w:val="39"/>
    <w:pPr>
      <w:ind w:left="420" w:leftChars="200"/>
    </w:p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1">
    <w:name w:val="Hyperlink"/>
    <w:basedOn w:val="10"/>
    <w:qFormat/>
    <w:uiPriority w:val="0"/>
    <w:rPr>
      <w:color w:val="0000FF"/>
      <w:u w:val="single"/>
    </w:rPr>
  </w:style>
  <w:style w:type="paragraph" w:customStyle="1" w:styleId="12">
    <w:name w:val="TOC 标题1"/>
    <w:basedOn w:val="2"/>
    <w:next w:val="1"/>
    <w:unhideWhenUsed/>
    <w:qFormat/>
    <w:uiPriority w:val="39"/>
    <w:pPr>
      <w:widowControl/>
      <w:spacing w:before="480" w:after="0" w:line="276" w:lineRule="auto"/>
      <w:jc w:val="left"/>
      <w:outlineLvl w:val="9"/>
    </w:pPr>
    <w:rPr>
      <w:rFonts w:ascii="Cambria" w:hAnsi="Cambria" w:cs="Times New Roman"/>
      <w:color w:val="365F91"/>
      <w:kern w:val="0"/>
      <w:sz w:val="28"/>
      <w:szCs w:val="28"/>
    </w:rPr>
  </w:style>
  <w:style w:type="character" w:customStyle="1" w:styleId="13">
    <w:name w:val="font71"/>
    <w:basedOn w:val="10"/>
    <w:qFormat/>
    <w:uiPriority w:val="0"/>
    <w:rPr>
      <w:rFonts w:hint="default" w:ascii="Times New Roman" w:hAnsi="Times New Roman" w:cs="Times New Roman"/>
      <w:b/>
      <w:color w:val="000000"/>
      <w:sz w:val="32"/>
      <w:szCs w:val="32"/>
      <w:u w:val="none"/>
    </w:rPr>
  </w:style>
  <w:style w:type="character" w:customStyle="1" w:styleId="14">
    <w:name w:val="font01"/>
    <w:basedOn w:val="10"/>
    <w:qFormat/>
    <w:uiPriority w:val="0"/>
    <w:rPr>
      <w:rFonts w:hint="eastAsia" w:ascii="黑体" w:hAnsi="宋体" w:eastAsia="黑体" w:cs="黑体"/>
      <w:b/>
      <w:color w:val="000000"/>
      <w:sz w:val="32"/>
      <w:szCs w:val="32"/>
      <w:u w:val="none"/>
    </w:rPr>
  </w:style>
  <w:style w:type="character" w:customStyle="1" w:styleId="15">
    <w:name w:val="页脚 Char"/>
    <w:basedOn w:val="10"/>
    <w:link w:val="4"/>
    <w:qFormat/>
    <w:uiPriority w:val="99"/>
    <w:rPr>
      <w:rFonts w:eastAsia="宋体"/>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2302</Words>
  <Characters>13123</Characters>
  <Lines>109</Lines>
  <Paragraphs>30</Paragraphs>
  <TotalTime>0</TotalTime>
  <ScaleCrop>false</ScaleCrop>
  <LinksUpToDate>false</LinksUpToDate>
  <CharactersWithSpaces>15395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2017-09-30T06:57:00Z</dcterms:created>
  <dc:creator>hp</dc:creator>
  <cp:lastModifiedBy>悠悠我欣</cp:lastModifiedBy>
  <cp:lastPrinted>2020-03-31T03:22:00Z</cp:lastPrinted>
  <dcterms:modified xsi:type="dcterms:W3CDTF">2020-03-31T08:40:28Z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