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项目类别：</w:t>
      </w:r>
      <w:r>
        <w:rPr>
          <w:rStyle w:val="4"/>
          <w:rFonts w:hint="eastAsia" w:ascii="宋体" w:hAnsi="宋体" w:eastAsia="宋体" w:cs="宋体"/>
          <w:b w:val="0"/>
          <w:bCs/>
          <w:color w:val="auto"/>
          <w:sz w:val="28"/>
          <w:szCs w:val="28"/>
          <w:shd w:val="clear" w:color="auto" w:fill="FFFFFF"/>
        </w:rPr>
        <w:t>第三批文化和旅游部重点实验室</w:t>
      </w:r>
      <w:bookmarkStart w:id="0" w:name="_GoBack"/>
      <w:bookmarkEnd w:id="0"/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50175"/>
    <w:rsid w:val="2C9405B3"/>
    <w:rsid w:val="40291E49"/>
    <w:rsid w:val="500545B0"/>
    <w:rsid w:val="5FE16D4C"/>
    <w:rsid w:val="64EF1D26"/>
    <w:rsid w:val="6926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2020-10-13T02:01:18Z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