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4"/>
          <w:szCs w:val="24"/>
        </w:rPr>
      </w:pPr>
      <w:r>
        <w:rPr>
          <w:rFonts w:hint="eastAsia"/>
          <w:sz w:val="40"/>
          <w:szCs w:val="40"/>
        </w:rPr>
        <w:t>科研承诺书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江西科技师范大学科研项目管理办法》的规定或《项目（课题）任务合同书》中的约定，不发生下列科研不端行为：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在职称、简历以及研究基础等方面提供虚假信息；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申报项目时与文件要求相违背的各类重复申报行为；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抄袭、剽窃他人科研成果；捏造或篡改科研数据；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不按时完成科研项目，违反科研经费管理等相关规定。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项目结题时未按上级管理文件和学校《科研项目管理办法》规定，提交相关结项材料；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其他科研不端行为。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项目（课题）名称： </w:t>
      </w:r>
      <w:r>
        <w:rPr>
          <w:b/>
          <w:bCs/>
          <w:sz w:val="28"/>
          <w:szCs w:val="28"/>
        </w:rPr>
        <w:t xml:space="preserve">  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E4B"/>
    <w:multiLevelType w:val="multilevel"/>
    <w:tmpl w:val="37091E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545B0"/>
    <w:rsid w:val="64E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2018-12-29T06:48:35Z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